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E0" w:rsidRPr="002A1AF6" w:rsidRDefault="00054B5F" w:rsidP="002A1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54B5F" w:rsidRDefault="003736B9" w:rsidP="0005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9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054B5F">
        <w:rPr>
          <w:rFonts w:ascii="Times New Roman" w:hAnsi="Times New Roman" w:cs="Times New Roman"/>
          <w:sz w:val="24"/>
          <w:szCs w:val="24"/>
        </w:rPr>
        <w:t>sjednice Upravnog v</w:t>
      </w:r>
      <w:r w:rsidR="00FA193E">
        <w:rPr>
          <w:rFonts w:ascii="Times New Roman" w:hAnsi="Times New Roman" w:cs="Times New Roman"/>
          <w:sz w:val="24"/>
          <w:szCs w:val="24"/>
        </w:rPr>
        <w:t>ijeća Dv</w:t>
      </w:r>
      <w:r w:rsidR="00061700">
        <w:rPr>
          <w:rFonts w:ascii="Times New Roman" w:hAnsi="Times New Roman" w:cs="Times New Roman"/>
          <w:sz w:val="24"/>
          <w:szCs w:val="24"/>
        </w:rPr>
        <w:t xml:space="preserve">ora Trakošćan održane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71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610BFD">
        <w:rPr>
          <w:rFonts w:ascii="Times New Roman" w:hAnsi="Times New Roman" w:cs="Times New Roman"/>
          <w:sz w:val="24"/>
          <w:szCs w:val="24"/>
        </w:rPr>
        <w:t>2022</w:t>
      </w:r>
      <w:r w:rsidR="00054B5F">
        <w:rPr>
          <w:rFonts w:ascii="Times New Roman" w:hAnsi="Times New Roman" w:cs="Times New Roman"/>
          <w:sz w:val="24"/>
          <w:szCs w:val="24"/>
        </w:rPr>
        <w:t>. u Upravi D</w:t>
      </w:r>
      <w:r w:rsidR="00FA2EC6">
        <w:rPr>
          <w:rFonts w:ascii="Times New Roman" w:hAnsi="Times New Roman" w:cs="Times New Roman"/>
          <w:sz w:val="24"/>
          <w:szCs w:val="24"/>
        </w:rPr>
        <w:t>v</w:t>
      </w:r>
      <w:r w:rsidR="00610BFD">
        <w:rPr>
          <w:rFonts w:ascii="Times New Roman" w:hAnsi="Times New Roman" w:cs="Times New Roman"/>
          <w:sz w:val="24"/>
          <w:szCs w:val="24"/>
        </w:rPr>
        <w:t>ora Trakošćan s početkom u 10</w:t>
      </w:r>
      <w:r>
        <w:rPr>
          <w:rFonts w:ascii="Times New Roman" w:hAnsi="Times New Roman" w:cs="Times New Roman"/>
          <w:sz w:val="24"/>
          <w:szCs w:val="24"/>
        </w:rPr>
        <w:t>,4</w:t>
      </w:r>
      <w:r w:rsidR="00A838E0">
        <w:rPr>
          <w:rFonts w:ascii="Times New Roman" w:hAnsi="Times New Roman" w:cs="Times New Roman"/>
          <w:sz w:val="24"/>
          <w:szCs w:val="24"/>
        </w:rPr>
        <w:t>5</w:t>
      </w:r>
      <w:r w:rsidR="00054B5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61700" w:rsidRDefault="00054B5F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061700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>, predsjednica</w:t>
      </w:r>
    </w:p>
    <w:p w:rsidR="00061700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zamjenik predsjednice</w:t>
      </w:r>
    </w:p>
    <w:p w:rsidR="00061700" w:rsidRDefault="003736B9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Ljerka Šimunić</w:t>
      </w:r>
      <w:r w:rsidR="00061700">
        <w:rPr>
          <w:rFonts w:ascii="Times New Roman" w:hAnsi="Times New Roman" w:cs="Times New Roman"/>
          <w:sz w:val="24"/>
          <w:szCs w:val="24"/>
        </w:rPr>
        <w:t>, član</w:t>
      </w:r>
    </w:p>
    <w:p w:rsidR="00054B5F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38E0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A838E0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AC1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</w:p>
    <w:p w:rsidR="00F14440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Adam Pintarić, ravnatelj</w:t>
      </w:r>
    </w:p>
    <w:p w:rsidR="00061700" w:rsidRDefault="00DD59A7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700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="009958F8">
        <w:rPr>
          <w:rFonts w:ascii="Times New Roman" w:hAnsi="Times New Roman" w:cs="Times New Roman"/>
          <w:sz w:val="24"/>
          <w:szCs w:val="24"/>
        </w:rPr>
        <w:t>F</w:t>
      </w:r>
      <w:r w:rsidR="00061700">
        <w:rPr>
          <w:rFonts w:ascii="Times New Roman" w:hAnsi="Times New Roman" w:cs="Times New Roman"/>
          <w:sz w:val="24"/>
          <w:szCs w:val="24"/>
        </w:rPr>
        <w:t>erčec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A838E0" w:rsidRPr="002A1AF6" w:rsidRDefault="002A1AF6" w:rsidP="002A1A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6B9" w:rsidRDefault="00DD59A7" w:rsidP="002A1A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Sjednicu je otvorila</w:t>
      </w:r>
      <w:r w:rsidR="00AC1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predsjednica Upravnog vijeća </w:t>
      </w:r>
      <w:r w:rsidR="0089426F">
        <w:rPr>
          <w:rFonts w:ascii="Times New Roman" w:eastAsia="Calibri" w:hAnsi="Times New Roman" w:cs="Times New Roman"/>
          <w:sz w:val="24"/>
          <w:szCs w:val="24"/>
        </w:rPr>
        <w:t xml:space="preserve">dr.sc.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Juraga</w:t>
      </w:r>
      <w:proofErr w:type="spellEnd"/>
      <w:r w:rsidR="00C1569E">
        <w:rPr>
          <w:rFonts w:ascii="Times New Roman" w:eastAsia="Calibri" w:hAnsi="Times New Roman" w:cs="Times New Roman"/>
          <w:sz w:val="24"/>
          <w:szCs w:val="24"/>
        </w:rPr>
        <w:t>. Članovi Upravnog vijeća su elektronskom poštom primili prijedlog dnevnog reda. Ravnatelj je predložio dopunu dnevnog reda na način da se dodaju tri točke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69E">
        <w:rPr>
          <w:rFonts w:ascii="Times New Roman" w:eastAsia="Calibri" w:hAnsi="Times New Roman" w:cs="Times New Roman"/>
          <w:sz w:val="24"/>
          <w:szCs w:val="24"/>
        </w:rPr>
        <w:t>pa dnevni red sada glasi:</w:t>
      </w:r>
    </w:p>
    <w:p w:rsidR="00C1569E" w:rsidRPr="00C1569E" w:rsidRDefault="00243AFF" w:rsidP="00C15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C1569E" w:rsidRPr="00C1569E" w:rsidRDefault="00C1569E" w:rsidP="00C1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Zapisnika s 8. sjednice Upravnog vijeća od 31.01.2022. godine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Konačnog izvješća o izvršenju programskih aktivnosti Dvora Trakošćan za 2021. godinu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I. izmjena i dopuna Financijskog plana Dvora Trakošćan za 2022. godinu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Razmatranje zahtjeva za produženje ugovora o zakupu poslovnog prostora </w:t>
            </w:r>
            <w:proofErr w:type="spellStart"/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suvenirnice</w:t>
            </w:r>
            <w:proofErr w:type="spellEnd"/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načinu realizacije projekta Prilagodbe prostora Dvora Trakošćan za pristup i kretanje osobama s teškoćama u kretanju (III., IV., V. i VI. etapa)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Prijedloga odluke o davanju suglasnosti za pravni posao prodaje nekretnine – stana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davanju u zakup javne površine dijela južne livade</w:t>
            </w:r>
          </w:p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69E" w:rsidRPr="00C1569E" w:rsidTr="00394CA1">
        <w:tc>
          <w:tcPr>
            <w:tcW w:w="567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804" w:type="dxa"/>
          </w:tcPr>
          <w:p w:rsidR="00C1569E" w:rsidRPr="00C1569E" w:rsidRDefault="00C1569E" w:rsidP="00C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054B5F" w:rsidRPr="002A1AF6" w:rsidRDefault="00054B5F" w:rsidP="002A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C57" w:rsidRPr="00E46C57" w:rsidRDefault="00054B5F" w:rsidP="00807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838E0">
        <w:rPr>
          <w:rFonts w:ascii="Times New Roman" w:hAnsi="Times New Roman" w:cs="Times New Roman"/>
          <w:sz w:val="24"/>
          <w:szCs w:val="24"/>
        </w:rPr>
        <w:t>vni red je jednoglasno usvojen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C57" w:rsidRDefault="00E46C57" w:rsidP="00F0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698" w:rsidRPr="00DD59A7" w:rsidRDefault="008443F5" w:rsidP="00F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 8</w:t>
      </w:r>
      <w:r w:rsidR="00840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Upravnog vijeća od 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31.01.2022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054B5F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698">
        <w:rPr>
          <w:rFonts w:ascii="Times New Roman" w:hAnsi="Times New Roman" w:cs="Times New Roman"/>
          <w:sz w:val="24"/>
          <w:szCs w:val="24"/>
        </w:rPr>
        <w:t xml:space="preserve">Predsjednica je zamolila članove Upravnog vijeća da na temelju uvida u </w:t>
      </w:r>
      <w:r w:rsidR="00651C26">
        <w:rPr>
          <w:rFonts w:ascii="Times New Roman" w:hAnsi="Times New Roman" w:cs="Times New Roman"/>
          <w:sz w:val="24"/>
          <w:szCs w:val="24"/>
        </w:rPr>
        <w:t>zapisnik s prošle sjednice glasu</w:t>
      </w:r>
      <w:r w:rsidRPr="00F05698">
        <w:rPr>
          <w:rFonts w:ascii="Times New Roman" w:hAnsi="Times New Roman" w:cs="Times New Roman"/>
          <w:sz w:val="24"/>
          <w:szCs w:val="24"/>
        </w:rPr>
        <w:t>ju o prihvaćanju navedenog zapisnika</w:t>
      </w:r>
      <w:r w:rsidR="00840917">
        <w:rPr>
          <w:rFonts w:ascii="Times New Roman" w:hAnsi="Times New Roman" w:cs="Times New Roman"/>
          <w:sz w:val="24"/>
          <w:szCs w:val="24"/>
        </w:rPr>
        <w:t>.</w:t>
      </w: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2EB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98">
        <w:rPr>
          <w:rFonts w:ascii="Times New Roman" w:hAnsi="Times New Roman" w:cs="Times New Roman"/>
          <w:b/>
          <w:sz w:val="24"/>
          <w:szCs w:val="24"/>
        </w:rPr>
        <w:lastRenderedPageBreak/>
        <w:t>Zaključak: Upravno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usvaja Zapisnik s </w:t>
      </w:r>
      <w:r w:rsidR="00807840">
        <w:rPr>
          <w:rFonts w:ascii="Times New Roman" w:hAnsi="Times New Roman" w:cs="Times New Roman"/>
          <w:b/>
          <w:sz w:val="24"/>
          <w:szCs w:val="24"/>
        </w:rPr>
        <w:t>8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Pr="00F05698">
        <w:rPr>
          <w:rFonts w:ascii="Times New Roman" w:hAnsi="Times New Roman" w:cs="Times New Roman"/>
          <w:b/>
          <w:sz w:val="24"/>
          <w:szCs w:val="24"/>
        </w:rPr>
        <w:t>Upravnog vijeća</w:t>
      </w:r>
    </w:p>
    <w:p w:rsidR="00F05698" w:rsidRPr="00F05698" w:rsidRDefault="002102EB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od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40">
        <w:rPr>
          <w:rFonts w:ascii="Times New Roman" w:hAnsi="Times New Roman" w:cs="Times New Roman"/>
          <w:b/>
          <w:sz w:val="24"/>
          <w:szCs w:val="24"/>
        </w:rPr>
        <w:t>31.01.2022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4052A" w:rsidRDefault="0014052A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E8B" w:rsidRDefault="00343E8B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B43" w:rsidRDefault="00334B43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59" w:rsidRDefault="00AC113B" w:rsidP="00002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="00054B5F" w:rsidRPr="00054B5F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840917" w:rsidRPr="00A83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usvajanju </w:t>
      </w:r>
      <w:r w:rsidR="000020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Konačnog izvješća o izvršenju programskih </w:t>
      </w:r>
    </w:p>
    <w:p w:rsidR="00840917" w:rsidRPr="00A838E0" w:rsidRDefault="00002059" w:rsidP="00002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aktivnosti Dvora Trakošćan za 2021. godinu</w:t>
      </w:r>
    </w:p>
    <w:p w:rsidR="00E46C57" w:rsidRDefault="00E46C57" w:rsidP="008409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0917" w:rsidRDefault="00002059" w:rsidP="00840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Srednoselec</w:t>
      </w:r>
      <w:proofErr w:type="spellEnd"/>
      <w:r w:rsidR="00E46C57">
        <w:rPr>
          <w:rFonts w:ascii="Times New Roman" w:hAnsi="Times New Roman" w:cs="Times New Roman"/>
          <w:sz w:val="24"/>
          <w:szCs w:val="24"/>
        </w:rPr>
        <w:t xml:space="preserve"> je</w:t>
      </w:r>
      <w:r w:rsidR="00840917" w:rsidRPr="00EF7783">
        <w:rPr>
          <w:rFonts w:ascii="Times New Roman" w:hAnsi="Times New Roman" w:cs="Times New Roman"/>
          <w:sz w:val="24"/>
          <w:szCs w:val="24"/>
        </w:rPr>
        <w:t xml:space="preserve"> članovima </w:t>
      </w:r>
      <w:r w:rsidR="006C2C56">
        <w:rPr>
          <w:rFonts w:ascii="Times New Roman" w:hAnsi="Times New Roman" w:cs="Times New Roman"/>
          <w:sz w:val="24"/>
          <w:szCs w:val="24"/>
        </w:rPr>
        <w:t>U</w:t>
      </w:r>
      <w:r w:rsidR="00E46C57">
        <w:rPr>
          <w:rFonts w:ascii="Times New Roman" w:hAnsi="Times New Roman" w:cs="Times New Roman"/>
          <w:sz w:val="24"/>
          <w:szCs w:val="24"/>
        </w:rPr>
        <w:t>pravnog vijeća detaljno izložila</w:t>
      </w:r>
      <w:r>
        <w:rPr>
          <w:rFonts w:ascii="Times New Roman" w:hAnsi="Times New Roman" w:cs="Times New Roman"/>
          <w:sz w:val="24"/>
          <w:szCs w:val="24"/>
        </w:rPr>
        <w:t xml:space="preserve"> Konačno i</w:t>
      </w:r>
      <w:r w:rsidR="00840917" w:rsidRPr="00EF7783">
        <w:rPr>
          <w:rFonts w:ascii="Times New Roman" w:hAnsi="Times New Roman" w:cs="Times New Roman"/>
          <w:sz w:val="24"/>
          <w:szCs w:val="24"/>
        </w:rPr>
        <w:t xml:space="preserve">zvješće o </w:t>
      </w:r>
      <w:r>
        <w:rPr>
          <w:rFonts w:ascii="Times New Roman" w:hAnsi="Times New Roman" w:cs="Times New Roman"/>
          <w:sz w:val="24"/>
          <w:szCs w:val="24"/>
        </w:rPr>
        <w:t xml:space="preserve">izvršenju programskih aktivnosti </w:t>
      </w:r>
      <w:r w:rsidR="00E46C57">
        <w:rPr>
          <w:rFonts w:ascii="Times New Roman" w:hAnsi="Times New Roman" w:cs="Times New Roman"/>
          <w:sz w:val="24"/>
          <w:szCs w:val="24"/>
        </w:rPr>
        <w:t>Dvora Trakošćan  za 2021</w:t>
      </w:r>
      <w:r w:rsidR="00840917" w:rsidRPr="00EF7783">
        <w:rPr>
          <w:rFonts w:ascii="Times New Roman" w:hAnsi="Times New Roman" w:cs="Times New Roman"/>
          <w:sz w:val="24"/>
          <w:szCs w:val="24"/>
        </w:rPr>
        <w:t>. godinu sa sljedećim financijskim pokazateljima:</w:t>
      </w:r>
    </w:p>
    <w:p w:rsidR="00840917" w:rsidRDefault="00840917" w:rsidP="00840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268"/>
      </w:tblGrid>
      <w:tr w:rsidR="00840917" w:rsidTr="00054888">
        <w:tc>
          <w:tcPr>
            <w:tcW w:w="3114" w:type="dxa"/>
            <w:shd w:val="clear" w:color="auto" w:fill="FFFFFF" w:themeFill="background1"/>
            <w:vAlign w:val="center"/>
          </w:tcPr>
          <w:p w:rsidR="00840917" w:rsidRPr="00054004" w:rsidRDefault="0005488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</w:tc>
        <w:tc>
          <w:tcPr>
            <w:tcW w:w="2268" w:type="dxa"/>
            <w:vAlign w:val="center"/>
          </w:tcPr>
          <w:p w:rsidR="00840917" w:rsidRDefault="0005488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kulturnog dobra</w:t>
            </w:r>
          </w:p>
        </w:tc>
      </w:tr>
      <w:tr w:rsidR="00840917" w:rsidTr="00054888">
        <w:tc>
          <w:tcPr>
            <w:tcW w:w="3114" w:type="dxa"/>
            <w:shd w:val="clear" w:color="auto" w:fill="D9D9D9" w:themeFill="background1" w:themeFillShade="D9"/>
          </w:tcPr>
          <w:p w:rsidR="00840917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Ugovoreni iznos</w:t>
            </w:r>
          </w:p>
          <w:p w:rsidR="00901C78" w:rsidRPr="00054004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(sredstva MKIM)</w:t>
            </w:r>
          </w:p>
        </w:tc>
        <w:tc>
          <w:tcPr>
            <w:tcW w:w="2268" w:type="dxa"/>
            <w:vAlign w:val="center"/>
          </w:tcPr>
          <w:p w:rsidR="00840917" w:rsidRDefault="00901C7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840917" w:rsidTr="00054888">
        <w:tc>
          <w:tcPr>
            <w:tcW w:w="3114" w:type="dxa"/>
            <w:shd w:val="clear" w:color="auto" w:fill="D0CECE" w:themeFill="background2" w:themeFillShade="E6"/>
          </w:tcPr>
          <w:p w:rsidR="00840917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  <w:p w:rsidR="00901C78" w:rsidRPr="00054004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(sredstva MKIM)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840917" w:rsidRDefault="00901C7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840917" w:rsidTr="00054888">
        <w:tc>
          <w:tcPr>
            <w:tcW w:w="3114" w:type="dxa"/>
            <w:shd w:val="clear" w:color="auto" w:fill="D9D9D9" w:themeFill="background1" w:themeFillShade="D9"/>
          </w:tcPr>
          <w:p w:rsidR="00840917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Utrošena vlastita sredstva</w:t>
            </w:r>
          </w:p>
          <w:p w:rsidR="00901C78" w:rsidRPr="00054004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(izvor 31)</w:t>
            </w:r>
          </w:p>
        </w:tc>
        <w:tc>
          <w:tcPr>
            <w:tcW w:w="2268" w:type="dxa"/>
            <w:vAlign w:val="center"/>
          </w:tcPr>
          <w:p w:rsidR="00840917" w:rsidRDefault="00901C7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132.328,23</w:t>
            </w:r>
          </w:p>
        </w:tc>
      </w:tr>
      <w:tr w:rsidR="00840917" w:rsidTr="00054888">
        <w:tc>
          <w:tcPr>
            <w:tcW w:w="3114" w:type="dxa"/>
            <w:shd w:val="clear" w:color="auto" w:fill="D9D9D9" w:themeFill="background1" w:themeFillShade="D9"/>
          </w:tcPr>
          <w:p w:rsidR="00840917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Utrošena vlastita sredstva</w:t>
            </w:r>
          </w:p>
          <w:p w:rsidR="00901C78" w:rsidRPr="00054004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(izvor 43)</w:t>
            </w:r>
          </w:p>
        </w:tc>
        <w:tc>
          <w:tcPr>
            <w:tcW w:w="2268" w:type="dxa"/>
            <w:vAlign w:val="center"/>
          </w:tcPr>
          <w:p w:rsidR="00840917" w:rsidRDefault="00901C7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518.990,79</w:t>
            </w:r>
          </w:p>
        </w:tc>
      </w:tr>
      <w:tr w:rsidR="00054888" w:rsidTr="00054888">
        <w:tc>
          <w:tcPr>
            <w:tcW w:w="3114" w:type="dxa"/>
            <w:shd w:val="clear" w:color="auto" w:fill="D9D9D9" w:themeFill="background1" w:themeFillShade="D9"/>
          </w:tcPr>
          <w:p w:rsidR="00054888" w:rsidRDefault="0005488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Utrošena vlastita sredstva</w:t>
            </w:r>
          </w:p>
          <w:p w:rsidR="00054888" w:rsidRDefault="0005488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(ukupno)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54888" w:rsidRDefault="0005488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651.319,02</w:t>
            </w:r>
          </w:p>
        </w:tc>
      </w:tr>
      <w:tr w:rsidR="00901C78" w:rsidTr="00054888">
        <w:tc>
          <w:tcPr>
            <w:tcW w:w="3114" w:type="dxa"/>
            <w:shd w:val="clear" w:color="auto" w:fill="D9D9D9" w:themeFill="background1" w:themeFillShade="D9"/>
          </w:tcPr>
          <w:p w:rsidR="00901C78" w:rsidRPr="00054004" w:rsidRDefault="00901C78" w:rsidP="002561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UKUPNI TROŠKOVI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901C78" w:rsidRDefault="00901C78" w:rsidP="002561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1.651.319,02</w:t>
            </w:r>
          </w:p>
        </w:tc>
      </w:tr>
    </w:tbl>
    <w:p w:rsidR="006B47F7" w:rsidRDefault="006B47F7" w:rsidP="00840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17" w:rsidRDefault="002C5FBE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Odluku o </w:t>
      </w:r>
    </w:p>
    <w:p w:rsidR="00002059" w:rsidRDefault="00002059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usvajanju Konačnog i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zvješća o </w:t>
      </w:r>
      <w:r>
        <w:rPr>
          <w:rFonts w:ascii="Times New Roman" w:hAnsi="Times New Roman" w:cs="Times New Roman"/>
          <w:b/>
          <w:sz w:val="24"/>
          <w:szCs w:val="24"/>
        </w:rPr>
        <w:t xml:space="preserve">izvršenju programskih aktivnosti </w:t>
      </w:r>
      <w:r w:rsidR="006F77AE">
        <w:rPr>
          <w:rFonts w:ascii="Times New Roman" w:hAnsi="Times New Roman" w:cs="Times New Roman"/>
          <w:b/>
          <w:sz w:val="24"/>
          <w:szCs w:val="24"/>
        </w:rPr>
        <w:t xml:space="preserve">Dvora </w:t>
      </w:r>
    </w:p>
    <w:p w:rsidR="00EA6D73" w:rsidRDefault="00002059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F77AE">
        <w:rPr>
          <w:rFonts w:ascii="Times New Roman" w:hAnsi="Times New Roman" w:cs="Times New Roman"/>
          <w:b/>
          <w:sz w:val="24"/>
          <w:szCs w:val="24"/>
        </w:rPr>
        <w:t>Trakošćan za 2021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917">
        <w:rPr>
          <w:rFonts w:ascii="Times New Roman" w:hAnsi="Times New Roman" w:cs="Times New Roman"/>
          <w:b/>
          <w:sz w:val="24"/>
          <w:szCs w:val="24"/>
        </w:rPr>
        <w:t>godinu</w:t>
      </w:r>
      <w:r w:rsidR="00CB6675">
        <w:rPr>
          <w:rFonts w:ascii="Times New Roman" w:hAnsi="Times New Roman" w:cs="Times New Roman"/>
          <w:b/>
          <w:sz w:val="24"/>
          <w:szCs w:val="24"/>
        </w:rPr>
        <w:t>.</w:t>
      </w:r>
    </w:p>
    <w:p w:rsidR="00EF7783" w:rsidRDefault="00EF7783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644" w:rsidRDefault="00AE0644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B43" w:rsidRDefault="00334B43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6F" w:rsidRDefault="00AC113B" w:rsidP="0074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29525D" w:rsidRPr="0029525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74227A" w:rsidRPr="00A83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813B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usvajanju I. izmjena i dopuna Financijskog plana Dvora </w:t>
      </w:r>
    </w:p>
    <w:p w:rsidR="0074227A" w:rsidRPr="00A838E0" w:rsidRDefault="00813B6F" w:rsidP="0074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Trakošćan za 2022. godinu</w:t>
      </w:r>
    </w:p>
    <w:p w:rsidR="0073735C" w:rsidRDefault="0073735C" w:rsidP="007422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6F" w:rsidRDefault="00813B6F" w:rsidP="00813B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9D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oditeljica računovodstva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F7783">
        <w:rPr>
          <w:rFonts w:ascii="Times New Roman" w:hAnsi="Times New Roman" w:cs="Times New Roman"/>
          <w:sz w:val="24"/>
          <w:szCs w:val="24"/>
        </w:rPr>
        <w:t xml:space="preserve"> članovima </w:t>
      </w:r>
      <w:r>
        <w:rPr>
          <w:rFonts w:ascii="Times New Roman" w:hAnsi="Times New Roman" w:cs="Times New Roman"/>
          <w:sz w:val="24"/>
          <w:szCs w:val="24"/>
        </w:rPr>
        <w:t>Upravnog vijeća detaljno izložila</w:t>
      </w:r>
      <w:r w:rsidRPr="00EF778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 izmjene i dopune Financijskog plana Dvora Trakošćan za 2022</w:t>
      </w:r>
      <w:r w:rsidRPr="00EF7783">
        <w:rPr>
          <w:rFonts w:ascii="Times New Roman" w:hAnsi="Times New Roman" w:cs="Times New Roman"/>
          <w:sz w:val="24"/>
          <w:szCs w:val="24"/>
        </w:rPr>
        <w:t>. godinu sa sljedećim financijskim pokazateljima:</w:t>
      </w:r>
    </w:p>
    <w:p w:rsidR="00813B6F" w:rsidRPr="00282AE2" w:rsidRDefault="00813B6F" w:rsidP="00813B6F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5"/>
      </w:tblGrid>
      <w:tr w:rsidR="00684D57" w:rsidTr="00684D57">
        <w:tc>
          <w:tcPr>
            <w:tcW w:w="2972" w:type="dxa"/>
            <w:shd w:val="clear" w:color="auto" w:fill="BFBFBF" w:themeFill="background1" w:themeFillShade="BF"/>
          </w:tcPr>
          <w:p w:rsidR="00684D57" w:rsidRPr="003344B7" w:rsidRDefault="00684D57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4D57" w:rsidRPr="005D7247" w:rsidRDefault="00684D57" w:rsidP="00394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Izvorni plan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684D57" w:rsidRDefault="00684D57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rebalans 2022</w:t>
            </w: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3B6F" w:rsidTr="00684D57">
        <w:tc>
          <w:tcPr>
            <w:tcW w:w="2972" w:type="dxa"/>
          </w:tcPr>
          <w:p w:rsidR="00813B6F" w:rsidRPr="004451F0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7" w:rsidTr="00684D57">
        <w:tc>
          <w:tcPr>
            <w:tcW w:w="2972" w:type="dxa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684D57" w:rsidRDefault="00E77D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2.271</w:t>
            </w:r>
            <w:r w:rsidR="00684D57">
              <w:rPr>
                <w:rFonts w:ascii="Times New Roman" w:hAnsi="Times New Roman" w:cs="Times New Roman"/>
                <w:sz w:val="24"/>
                <w:szCs w:val="24"/>
              </w:rPr>
              <w:t>.229,00</w:t>
            </w:r>
          </w:p>
        </w:tc>
        <w:tc>
          <w:tcPr>
            <w:tcW w:w="3255" w:type="dxa"/>
          </w:tcPr>
          <w:p w:rsidR="00684D57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2.336.329,00</w:t>
            </w:r>
          </w:p>
        </w:tc>
      </w:tr>
      <w:tr w:rsidR="00684D57" w:rsidTr="00684D57">
        <w:tc>
          <w:tcPr>
            <w:tcW w:w="2972" w:type="dxa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684D57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84D5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3255" w:type="dxa"/>
          </w:tcPr>
          <w:p w:rsidR="00684D57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84D5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813B6F" w:rsidTr="00684D57">
        <w:tc>
          <w:tcPr>
            <w:tcW w:w="2972" w:type="dxa"/>
          </w:tcPr>
          <w:p w:rsidR="00813B6F" w:rsidRPr="004451F0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7" w:rsidTr="00684D57">
        <w:tc>
          <w:tcPr>
            <w:tcW w:w="2972" w:type="dxa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ulaznica</w:t>
            </w:r>
          </w:p>
        </w:tc>
        <w:tc>
          <w:tcPr>
            <w:tcW w:w="2835" w:type="dxa"/>
          </w:tcPr>
          <w:p w:rsidR="00684D57" w:rsidRDefault="00E77D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84D57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3255" w:type="dxa"/>
          </w:tcPr>
          <w:p w:rsidR="00684D57" w:rsidRDefault="00711550" w:rsidP="00454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3F9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</w:tr>
      <w:tr w:rsidR="00684D57" w:rsidTr="00684D57">
        <w:tc>
          <w:tcPr>
            <w:tcW w:w="2972" w:type="dxa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Pružene usluge i prodaja robe</w:t>
            </w:r>
          </w:p>
        </w:tc>
        <w:tc>
          <w:tcPr>
            <w:tcW w:w="2835" w:type="dxa"/>
            <w:vAlign w:val="center"/>
          </w:tcPr>
          <w:p w:rsidR="00684D57" w:rsidRDefault="00E77D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D5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3255" w:type="dxa"/>
            <w:vAlign w:val="center"/>
          </w:tcPr>
          <w:p w:rsidR="00684D57" w:rsidRDefault="004543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4543F9" w:rsidTr="00684D57">
        <w:tc>
          <w:tcPr>
            <w:tcW w:w="2972" w:type="dxa"/>
          </w:tcPr>
          <w:p w:rsidR="004543F9" w:rsidRDefault="004543F9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835" w:type="dxa"/>
            <w:vAlign w:val="center"/>
          </w:tcPr>
          <w:p w:rsidR="004543F9" w:rsidRDefault="004543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55" w:type="dxa"/>
            <w:vAlign w:val="center"/>
          </w:tcPr>
          <w:p w:rsidR="004543F9" w:rsidRDefault="004543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26,412,00</w:t>
            </w:r>
          </w:p>
        </w:tc>
      </w:tr>
      <w:tr w:rsidR="004543F9" w:rsidTr="00684D57">
        <w:tc>
          <w:tcPr>
            <w:tcW w:w="2972" w:type="dxa"/>
          </w:tcPr>
          <w:p w:rsidR="004543F9" w:rsidRDefault="004543F9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Kamate</w:t>
            </w:r>
          </w:p>
        </w:tc>
        <w:tc>
          <w:tcPr>
            <w:tcW w:w="2835" w:type="dxa"/>
            <w:vAlign w:val="center"/>
          </w:tcPr>
          <w:p w:rsidR="004543F9" w:rsidRDefault="00151112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3255" w:type="dxa"/>
            <w:vAlign w:val="center"/>
          </w:tcPr>
          <w:p w:rsidR="004543F9" w:rsidRDefault="004543F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01829" w:rsidTr="00684D57">
        <w:tc>
          <w:tcPr>
            <w:tcW w:w="2972" w:type="dxa"/>
          </w:tcPr>
          <w:p w:rsidR="00201829" w:rsidRDefault="00201829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Pripravništvo</w:t>
            </w:r>
          </w:p>
        </w:tc>
        <w:tc>
          <w:tcPr>
            <w:tcW w:w="2835" w:type="dxa"/>
            <w:vAlign w:val="center"/>
          </w:tcPr>
          <w:p w:rsidR="00201829" w:rsidRDefault="0020182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211.559,00</w:t>
            </w:r>
          </w:p>
        </w:tc>
        <w:tc>
          <w:tcPr>
            <w:tcW w:w="3255" w:type="dxa"/>
            <w:vAlign w:val="center"/>
          </w:tcPr>
          <w:p w:rsidR="00201829" w:rsidRDefault="0020182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B6F" w:rsidTr="00684D57">
        <w:tc>
          <w:tcPr>
            <w:tcW w:w="2972" w:type="dxa"/>
          </w:tcPr>
          <w:p w:rsidR="00813B6F" w:rsidRPr="00E218A3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3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7" w:rsidTr="00684D57">
        <w:tc>
          <w:tcPr>
            <w:tcW w:w="2972" w:type="dxa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sredstva</w:t>
            </w:r>
          </w:p>
        </w:tc>
        <w:tc>
          <w:tcPr>
            <w:tcW w:w="2835" w:type="dxa"/>
            <w:vAlign w:val="center"/>
          </w:tcPr>
          <w:p w:rsidR="00684D57" w:rsidRDefault="00684D57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3255" w:type="dxa"/>
            <w:vAlign w:val="center"/>
          </w:tcPr>
          <w:p w:rsidR="00684D57" w:rsidRDefault="00684D57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</w:tr>
      <w:tr w:rsidR="00684D57" w:rsidTr="00684D57">
        <w:tc>
          <w:tcPr>
            <w:tcW w:w="2972" w:type="dxa"/>
            <w:shd w:val="clear" w:color="auto" w:fill="BFBFBF" w:themeFill="background1" w:themeFillShade="BF"/>
          </w:tcPr>
          <w:p w:rsidR="00684D57" w:rsidRPr="00842F90" w:rsidRDefault="00684D57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842F9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4D57" w:rsidRPr="00842F90" w:rsidRDefault="00151112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5.606.918,00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684D57" w:rsidRDefault="00DA5999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5.486.871,00</w:t>
            </w:r>
          </w:p>
        </w:tc>
      </w:tr>
      <w:tr w:rsidR="00684D57" w:rsidTr="00684D57">
        <w:tc>
          <w:tcPr>
            <w:tcW w:w="2972" w:type="dxa"/>
          </w:tcPr>
          <w:p w:rsidR="00684D57" w:rsidRPr="00842F90" w:rsidRDefault="00684D57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Donos</w:t>
            </w:r>
          </w:p>
        </w:tc>
        <w:tc>
          <w:tcPr>
            <w:tcW w:w="2835" w:type="dxa"/>
          </w:tcPr>
          <w:p w:rsidR="00684D57" w:rsidRPr="00842F90" w:rsidRDefault="00151112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1.015.892,00</w:t>
            </w:r>
          </w:p>
        </w:tc>
        <w:tc>
          <w:tcPr>
            <w:tcW w:w="3255" w:type="dxa"/>
          </w:tcPr>
          <w:p w:rsidR="00684D57" w:rsidRDefault="00DA599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2.564.608,44</w:t>
            </w:r>
          </w:p>
        </w:tc>
      </w:tr>
      <w:tr w:rsidR="00684D57" w:rsidTr="00684D57">
        <w:tc>
          <w:tcPr>
            <w:tcW w:w="2972" w:type="dxa"/>
          </w:tcPr>
          <w:p w:rsidR="00684D57" w:rsidRPr="00842F90" w:rsidRDefault="00684D57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Odnos</w:t>
            </w:r>
          </w:p>
        </w:tc>
        <w:tc>
          <w:tcPr>
            <w:tcW w:w="2835" w:type="dxa"/>
          </w:tcPr>
          <w:p w:rsidR="00684D57" w:rsidRPr="00842F90" w:rsidRDefault="00151112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1.417.365,00</w:t>
            </w:r>
          </w:p>
        </w:tc>
        <w:tc>
          <w:tcPr>
            <w:tcW w:w="3255" w:type="dxa"/>
          </w:tcPr>
          <w:p w:rsidR="00684D57" w:rsidRDefault="00DA599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2.254.234,92</w:t>
            </w:r>
          </w:p>
        </w:tc>
      </w:tr>
      <w:tr w:rsidR="00684D57" w:rsidTr="00684D57">
        <w:tc>
          <w:tcPr>
            <w:tcW w:w="2972" w:type="dxa"/>
            <w:shd w:val="clear" w:color="auto" w:fill="BFBFBF" w:themeFill="background1" w:themeFillShade="BF"/>
          </w:tcPr>
          <w:p w:rsidR="00684D57" w:rsidRDefault="00684D57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RASPOLOŽIVO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4D57" w:rsidRPr="0076650D" w:rsidRDefault="00151112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5.205.445,00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684D57" w:rsidRDefault="00DA5999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5.797.244,52</w:t>
            </w:r>
          </w:p>
        </w:tc>
      </w:tr>
    </w:tbl>
    <w:p w:rsidR="00813B6F" w:rsidRDefault="00813B6F" w:rsidP="00813B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5"/>
      </w:tblGrid>
      <w:tr w:rsidR="00711550" w:rsidTr="00711550">
        <w:tc>
          <w:tcPr>
            <w:tcW w:w="2972" w:type="dxa"/>
            <w:shd w:val="clear" w:color="auto" w:fill="BFBFBF" w:themeFill="background1" w:themeFillShade="BF"/>
          </w:tcPr>
          <w:p w:rsidR="00711550" w:rsidRPr="0068258A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11550" w:rsidRPr="005D7247" w:rsidRDefault="00711550" w:rsidP="00394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Izvorni plan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711550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rebalans 2022</w:t>
            </w: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3B6F" w:rsidTr="00711550">
        <w:tc>
          <w:tcPr>
            <w:tcW w:w="2972" w:type="dxa"/>
          </w:tcPr>
          <w:p w:rsidR="00813B6F" w:rsidRPr="0068258A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711550" w:rsidRDefault="000656E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2.271.229,00</w:t>
            </w:r>
          </w:p>
        </w:tc>
        <w:tc>
          <w:tcPr>
            <w:tcW w:w="3255" w:type="dxa"/>
          </w:tcPr>
          <w:p w:rsidR="00711550" w:rsidRDefault="00FE5D28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2.336.329,00</w:t>
            </w: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711550" w:rsidRDefault="000656E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  <w:tc>
          <w:tcPr>
            <w:tcW w:w="3255" w:type="dxa"/>
          </w:tcPr>
          <w:p w:rsidR="00711550" w:rsidRDefault="00FE5D28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1155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813B6F" w:rsidTr="00711550">
        <w:tc>
          <w:tcPr>
            <w:tcW w:w="2972" w:type="dxa"/>
          </w:tcPr>
          <w:p w:rsidR="00813B6F" w:rsidRPr="0068258A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711550" w:rsidRDefault="00476B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972.500,00</w:t>
            </w:r>
          </w:p>
        </w:tc>
        <w:tc>
          <w:tcPr>
            <w:tcW w:w="3255" w:type="dxa"/>
          </w:tcPr>
          <w:p w:rsidR="00711550" w:rsidRDefault="001D0CC6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1.238.545,00</w:t>
            </w: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711550" w:rsidRDefault="00476B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626.157,00</w:t>
            </w:r>
          </w:p>
        </w:tc>
        <w:tc>
          <w:tcPr>
            <w:tcW w:w="3255" w:type="dxa"/>
          </w:tcPr>
          <w:p w:rsidR="00711550" w:rsidRDefault="001D0CC6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885.412,35</w:t>
            </w:r>
          </w:p>
        </w:tc>
      </w:tr>
      <w:tr w:rsidR="00813B6F" w:rsidTr="00711550">
        <w:tc>
          <w:tcPr>
            <w:tcW w:w="2972" w:type="dxa"/>
          </w:tcPr>
          <w:p w:rsidR="00813B6F" w:rsidRPr="0068258A" w:rsidRDefault="00813B6F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090" w:type="dxa"/>
            <w:gridSpan w:val="2"/>
          </w:tcPr>
          <w:p w:rsidR="00813B6F" w:rsidRDefault="00813B6F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II. uređenje sjevernog dijela staze</w:t>
            </w:r>
          </w:p>
        </w:tc>
        <w:tc>
          <w:tcPr>
            <w:tcW w:w="2835" w:type="dxa"/>
            <w:vAlign w:val="center"/>
          </w:tcPr>
          <w:p w:rsidR="00711550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3255" w:type="dxa"/>
            <w:vAlign w:val="center"/>
          </w:tcPr>
          <w:p w:rsidR="00711550" w:rsidRDefault="00711550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</w:tr>
      <w:tr w:rsidR="00711550" w:rsidTr="00711550">
        <w:tc>
          <w:tcPr>
            <w:tcW w:w="2972" w:type="dxa"/>
          </w:tcPr>
          <w:p w:rsidR="00711550" w:rsidRDefault="00711550" w:rsidP="00394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Pripravništvo</w:t>
            </w:r>
          </w:p>
        </w:tc>
        <w:tc>
          <w:tcPr>
            <w:tcW w:w="2835" w:type="dxa"/>
          </w:tcPr>
          <w:p w:rsidR="00711550" w:rsidRDefault="000656E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211.559,00</w:t>
            </w:r>
          </w:p>
        </w:tc>
        <w:tc>
          <w:tcPr>
            <w:tcW w:w="3255" w:type="dxa"/>
          </w:tcPr>
          <w:p w:rsidR="00711550" w:rsidRDefault="000656E9" w:rsidP="00394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212.958,17</w:t>
            </w:r>
          </w:p>
        </w:tc>
      </w:tr>
      <w:tr w:rsidR="00711550" w:rsidTr="00711550">
        <w:tc>
          <w:tcPr>
            <w:tcW w:w="2972" w:type="dxa"/>
            <w:shd w:val="clear" w:color="auto" w:fill="BFBFBF" w:themeFill="background1" w:themeFillShade="BF"/>
          </w:tcPr>
          <w:p w:rsidR="00711550" w:rsidRPr="00AC0E51" w:rsidRDefault="00711550" w:rsidP="00394C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AC0E5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11550" w:rsidRPr="00AC0E51" w:rsidRDefault="00476B50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5.205.445,00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711550" w:rsidRDefault="001D0CC6" w:rsidP="00394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5.797.244,52</w:t>
            </w:r>
          </w:p>
        </w:tc>
      </w:tr>
    </w:tbl>
    <w:p w:rsidR="00813B6F" w:rsidRDefault="00813B6F" w:rsidP="00813B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B6F" w:rsidRDefault="00813B6F" w:rsidP="00813B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rađene su na zahtjev Ministarstva kulture i medija u travnju</w:t>
      </w:r>
      <w:r w:rsidR="000C5BB9">
        <w:rPr>
          <w:rFonts w:ascii="Times New Roman" w:hAnsi="Times New Roman" w:cs="Times New Roman"/>
          <w:sz w:val="24"/>
          <w:szCs w:val="24"/>
        </w:rPr>
        <w:t xml:space="preserve"> 2022. godine.  </w:t>
      </w:r>
    </w:p>
    <w:p w:rsidR="0073735C" w:rsidRDefault="0073735C" w:rsidP="0073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28" w:rsidRDefault="0073735C" w:rsidP="0073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Upravno vijeće na prijedlog ravnatelja jednoglasno donosi Odluku o</w:t>
      </w:r>
    </w:p>
    <w:p w:rsidR="00FE5D28" w:rsidRDefault="00FE5D28" w:rsidP="0073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42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usvajanju I. izmjena i dopuna Financijskog plana Dvora Trakošćan za 2021. </w:t>
      </w:r>
    </w:p>
    <w:p w:rsidR="0074227A" w:rsidRDefault="00FE5D28" w:rsidP="0073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godinu.</w:t>
      </w:r>
    </w:p>
    <w:p w:rsidR="00334B43" w:rsidRDefault="0074227A" w:rsidP="00FE5D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3735C" w:rsidRDefault="0073735C" w:rsidP="007422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67ECD" w:rsidRDefault="00467ECD" w:rsidP="00243A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28" w:rsidRDefault="00AC113B" w:rsidP="00FE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941D54" w:rsidRPr="00941D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FE5D28" w:rsidRPr="00FE5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Razmatranje zahtjeva za produženje ugovora o zakupu poslovnog prostora </w:t>
      </w:r>
    </w:p>
    <w:p w:rsidR="00FE5D28" w:rsidRDefault="00FE5D28" w:rsidP="00FE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proofErr w:type="spellStart"/>
      <w:r w:rsidR="000117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FE5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uvenirnice</w:t>
      </w:r>
      <w:proofErr w:type="spellEnd"/>
    </w:p>
    <w:p w:rsidR="00991C0E" w:rsidRDefault="00991C0E" w:rsidP="00DD3A53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A53" w:rsidRPr="00DD3A53" w:rsidRDefault="00DD3A53" w:rsidP="00DD3A5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je članove Upravnog vijeća upoznao s problematikom zakupa poslovnog prostora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suvenirnice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Dana 06.07.2017. godine sklopljen je Ugovor o zakupu poslovnog prostora koji je smješten u prizemlju jednokatne zgrade uprave Dvora Trakošćan u podnožju dvorca (</w:t>
      </w:r>
      <w:proofErr w:type="spellStart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sa zakupnikom </w:t>
      </w:r>
      <w:r w:rsidRPr="00DD3A53">
        <w:rPr>
          <w:rFonts w:ascii="Times New Roman" w:hAnsi="Times New Roman" w:cs="Times New Roman"/>
          <w:sz w:val="24"/>
          <w:szCs w:val="24"/>
        </w:rPr>
        <w:t xml:space="preserve">Zagorje International d.o.o.. </w:t>
      </w:r>
    </w:p>
    <w:p w:rsidR="00DD3A53" w:rsidRPr="00DD3A53" w:rsidRDefault="00DD3A53" w:rsidP="00DD3A5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 prostor </w:t>
      </w:r>
      <w:proofErr w:type="spellStart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ukupne površine 71,6 m², daje se u zakup za obavljanje turističke i trgovačke djelatnosti: prodaja suvenira, umjetnina, antikviteta, razglednica, </w:t>
      </w:r>
      <w:proofErr w:type="spellStart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postera</w:t>
      </w:r>
      <w:proofErr w:type="spellEnd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, turističkih vodiča i monografija te ostalih turističkih materijala u najmanje 50% prodajne površine, pružanje turističkih informacija i usluga te prodaju ostalih artikala u skladu s posebnim propisima</w:t>
      </w:r>
      <w:r w:rsidRPr="00DD3A53">
        <w:rPr>
          <w:rFonts w:ascii="Times New Roman" w:hAnsi="Times New Roman" w:cs="Times New Roman"/>
          <w:sz w:val="24"/>
          <w:szCs w:val="24"/>
        </w:rPr>
        <w:t>.</w:t>
      </w:r>
      <w:r w:rsidR="00991C0E">
        <w:rPr>
          <w:rFonts w:ascii="Times New Roman" w:hAnsi="Times New Roman" w:cs="Times New Roman"/>
          <w:sz w:val="24"/>
          <w:szCs w:val="24"/>
        </w:rPr>
        <w:t xml:space="preserve"> </w:t>
      </w:r>
      <w:r w:rsidRPr="00DD3A53">
        <w:rPr>
          <w:rFonts w:ascii="Times New Roman" w:hAnsi="Times New Roman" w:cs="Times New Roman"/>
          <w:sz w:val="24"/>
          <w:szCs w:val="24"/>
        </w:rPr>
        <w:t xml:space="preserve">Mjesečna zakupnina za poslovni prostor </w:t>
      </w:r>
      <w:proofErr w:type="spellStart"/>
      <w:r w:rsidRPr="00DD3A53">
        <w:rPr>
          <w:rFonts w:ascii="Times New Roman" w:hAnsi="Times New Roman" w:cs="Times New Roman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sz w:val="24"/>
          <w:szCs w:val="24"/>
        </w:rPr>
        <w:t xml:space="preserve"> iznosi 3.014,36 + PDV odnosno 42,10 kn/m² + PDV.</w:t>
      </w:r>
    </w:p>
    <w:p w:rsidR="00DD3A53" w:rsidRDefault="00DD3A53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lastRenderedPageBreak/>
        <w:t>Ugovor je sklopljen na određeno vrijeme u trajanju od 5 godina, uz mogućnost produženja, a počeo je teći od 15.07.2017. godine. Dana 10.03.2022. godine zakupnik Zagorje International d.o.o. predao je zahtjev za produženje ugovora.</w:t>
      </w:r>
    </w:p>
    <w:p w:rsidR="00991C0E" w:rsidRPr="00DD3A53" w:rsidRDefault="00991C0E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A53" w:rsidRDefault="00DD3A53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 xml:space="preserve">Zakupnik je tijekom dosadašnjeg poslovanja uredno i u potpunosti izvršavao sve obaveze utvrđene postojećim ugovorom o zakupu. Nadalje, prosječna trenutna visina mjesečne zakupnine za prostore na području Dvora Trakošćan koji su dani u zakup iznosi 34,00 kn/m², bez PDV-a te je sklapanje novog ugovora o zakupu sa sadašnjim zakupnikom ekonomski opravdano. </w:t>
      </w:r>
    </w:p>
    <w:p w:rsidR="00991C0E" w:rsidRPr="00DD3A53" w:rsidRDefault="00991C0E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A53" w:rsidRPr="00DD3A53" w:rsidRDefault="00DD3A53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Stoga se predlaže sklapanje novog ugovora o zakupu poslovnog prostora sa sadašnjim zakupnikom po istim  uvjetima kao i u postojećem ugovoru što uključuje trajanje i cijenu zakupa:</w:t>
      </w:r>
    </w:p>
    <w:p w:rsidR="00DD3A53" w:rsidRPr="00DD3A53" w:rsidRDefault="00DD3A53" w:rsidP="00991C0E">
      <w:pPr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Ugovor će se sklopiti na određeno vrijeme u trajanju od 5 godina, uz mogućnost produženja.</w:t>
      </w:r>
    </w:p>
    <w:p w:rsidR="00DD3A53" w:rsidRPr="00DD3A53" w:rsidRDefault="00DD3A53" w:rsidP="00991C0E">
      <w:pPr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Mjesečna zakupnina za poslovni prostor iz ugovora iznosi 3.014,36 kn, uvećana za pripadajući porez na dodanu vrijednost.</w:t>
      </w:r>
    </w:p>
    <w:p w:rsidR="00991C0E" w:rsidRDefault="00991C0E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A53" w:rsidRPr="00DD3A53" w:rsidRDefault="00DD3A53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Prije sklapanja novog ugovora zatražiti će se suglasnost Ministarstva kulture i medija.</w:t>
      </w:r>
      <w:r w:rsidR="00151112">
        <w:rPr>
          <w:rFonts w:ascii="Times New Roman" w:hAnsi="Times New Roman" w:cs="Times New Roman"/>
          <w:sz w:val="24"/>
          <w:szCs w:val="24"/>
        </w:rPr>
        <w:t xml:space="preserve"> </w:t>
      </w:r>
      <w:r w:rsidRPr="00DD3A53">
        <w:rPr>
          <w:rFonts w:ascii="Times New Roman" w:hAnsi="Times New Roman" w:cs="Times New Roman"/>
          <w:sz w:val="24"/>
          <w:szCs w:val="24"/>
        </w:rPr>
        <w:t xml:space="preserve">Također, ukoliko se suglasnost Ministarstva kulture i medija ne ishodi do isteka postojećeg ugovora sklopljenog za zakup poslovnog prostora </w:t>
      </w:r>
      <w:proofErr w:type="spellStart"/>
      <w:r w:rsidRPr="00DD3A53">
        <w:rPr>
          <w:rFonts w:ascii="Times New Roman" w:hAnsi="Times New Roman" w:cs="Times New Roman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sz w:val="24"/>
          <w:szCs w:val="24"/>
        </w:rPr>
        <w:t>, predlaže se sklapanje aneksa ugovora o zakupu sa sadašnjim zakupnikom na rok od 90 dana odnosno do dobivene suglasnosti Ministarstva kulture i medija.</w:t>
      </w:r>
    </w:p>
    <w:p w:rsidR="00991C0E" w:rsidRDefault="00991C0E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A53" w:rsidRPr="00DD3A53" w:rsidRDefault="00DD3A53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Upravno vijeće donosi Odluku o sklapanju Ugovora o zakupu poslovnog prostora sa sljedećim sadržajem:</w:t>
      </w: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D3A53">
        <w:rPr>
          <w:rFonts w:ascii="Times New Roman" w:hAnsi="Times New Roman" w:cs="Times New Roman"/>
          <w:sz w:val="24"/>
          <w:szCs w:val="24"/>
        </w:rPr>
        <w:t>Članak 1.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Ovom Odlukom utvrđuje se sklapanje novog Ugovora o zakupu poslovnog prostora smještenog u prizemlju jednokatne zgrade uprave Dvora Trakošćan u podnožju dvorca (</w:t>
      </w:r>
      <w:proofErr w:type="spellStart"/>
      <w:r w:rsidRPr="00DD3A53">
        <w:rPr>
          <w:rFonts w:ascii="Times New Roman" w:hAnsi="Times New Roman" w:cs="Times New Roman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sz w:val="24"/>
          <w:szCs w:val="24"/>
        </w:rPr>
        <w:t>) sa sadašnjim zakupnikom Zagorje International d.o.o..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Utvrđuje se da zakupnik Zagorje International d.o.o. uredno i u potpunosti izvršava sve obaveze utvrđene postojećim Ugovorom</w:t>
      </w: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zakupu poslovnog prostora </w:t>
      </w:r>
      <w:proofErr w:type="spellStart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(Broj: 42/1-2-2.1.6.2/8-2017/7 od 06.07.2017.).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 xml:space="preserve">Utvrđuje se da prosječna trenutna visina mjesečne zakupnine za prostore na području Dvora Trakošćan koji su dani u zakup iznosi 34,00 kn/m², bez PDV-a te je sklapanje novog ugovora o zakupu sa sadašnjim zakupnikom ekonomski opravdano. 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Ugovor iz članka 1. ove Odluke sklopiti će se po istim uvjetima kao u postojećem ugovoru što uključuje trajanje i cijenu zakupa:</w:t>
      </w:r>
    </w:p>
    <w:p w:rsidR="00DD3A53" w:rsidRPr="00DD3A53" w:rsidRDefault="00DD3A53" w:rsidP="00DD3A53">
      <w:pPr>
        <w:numPr>
          <w:ilvl w:val="0"/>
          <w:numId w:val="35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Ugovor će se sklopiti na određeno vrijeme u trajanju od 5 godina, uz mogućnost produženja.</w:t>
      </w:r>
    </w:p>
    <w:p w:rsidR="00DD3A53" w:rsidRDefault="00DD3A53" w:rsidP="00DD3A53">
      <w:pPr>
        <w:numPr>
          <w:ilvl w:val="0"/>
          <w:numId w:val="35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Mjesečna zakupnina za poslovni prostor iz ugovora iznosi 3.014,36 kn, uvećana za pripadajući porez na dodanu vrijednost.</w:t>
      </w:r>
    </w:p>
    <w:p w:rsidR="00DD3A53" w:rsidRPr="00DD3A53" w:rsidRDefault="00DD3A53" w:rsidP="00DD3A53">
      <w:pPr>
        <w:numPr>
          <w:ilvl w:val="0"/>
          <w:numId w:val="35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color w:val="000000" w:themeColor="text1"/>
          <w:sz w:val="24"/>
          <w:szCs w:val="24"/>
        </w:rPr>
        <w:t>Članak 4.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Prije sklapanja novog ugovora zatražiti će se suglasnost Ministarstva kulture i medija</w:t>
      </w: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 xml:space="preserve">Ukoliko se suglasnost Ministarstva kulture i medija ne ishodi do isteka postojećeg ugovora sklopljenog za zakup poslovnog prostora </w:t>
      </w:r>
      <w:proofErr w:type="spellStart"/>
      <w:r w:rsidRPr="00DD3A53">
        <w:rPr>
          <w:rFonts w:ascii="Times New Roman" w:hAnsi="Times New Roman" w:cs="Times New Roman"/>
          <w:sz w:val="24"/>
          <w:szCs w:val="24"/>
        </w:rPr>
        <w:t>suvenirnice</w:t>
      </w:r>
      <w:proofErr w:type="spellEnd"/>
      <w:r w:rsidRPr="00DD3A53">
        <w:rPr>
          <w:rFonts w:ascii="Times New Roman" w:hAnsi="Times New Roman" w:cs="Times New Roman"/>
          <w:sz w:val="24"/>
          <w:szCs w:val="24"/>
        </w:rPr>
        <w:t>, sklopiti će se aneks ugovora o zakupu sa sadašnjim zakupnikom na rok od 90 dana odnosno do dobivene suglasnosti Ministarstva kulture i medija.</w:t>
      </w:r>
    </w:p>
    <w:p w:rsidR="00DD3A53" w:rsidRPr="00DD3A53" w:rsidRDefault="00DD3A53" w:rsidP="00DD3A53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Članak 6.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53">
        <w:rPr>
          <w:rFonts w:ascii="Times New Roman" w:hAnsi="Times New Roman" w:cs="Times New Roman"/>
          <w:sz w:val="24"/>
          <w:szCs w:val="24"/>
        </w:rPr>
        <w:t>Ova Odluka stupa na snagu prvi dan od donošenja.“</w:t>
      </w:r>
    </w:p>
    <w:p w:rsidR="00DD3A53" w:rsidRPr="00DD3A53" w:rsidRDefault="00DD3A53" w:rsidP="00DD3A5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C56" w:rsidRDefault="007C7AA9" w:rsidP="00467E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E94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603">
        <w:rPr>
          <w:rFonts w:ascii="Times New Roman" w:hAnsi="Times New Roman" w:cs="Times New Roman"/>
          <w:b/>
          <w:sz w:val="24"/>
          <w:szCs w:val="24"/>
        </w:rPr>
        <w:t>Upravno vijeće na prijedlog ravnatelja jednoglasno donosi Odluku o</w:t>
      </w:r>
      <w:r w:rsidR="006C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ECD" w:rsidRDefault="006C2C56" w:rsidP="00011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170C">
        <w:rPr>
          <w:rFonts w:ascii="Times New Roman" w:hAnsi="Times New Roman" w:cs="Times New Roman"/>
          <w:b/>
          <w:sz w:val="24"/>
          <w:szCs w:val="24"/>
        </w:rPr>
        <w:t>sklapanju Ugovora o zakupu poslovnog prostora</w:t>
      </w:r>
    </w:p>
    <w:p w:rsidR="00197054" w:rsidRDefault="00197054" w:rsidP="00CD6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B43" w:rsidRDefault="00334B43" w:rsidP="00CD6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53" w:rsidRDefault="00DD3A53" w:rsidP="00CD6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12" w:rsidRDefault="00E94A63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41612"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načinu realizacije projekta Prilagodbe prostora Dvora </w:t>
      </w:r>
    </w:p>
    <w:p w:rsidR="00E41612" w:rsidRDefault="00E41612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Trakošćan za pristup i kretanje osobama s teškoćama u kretanju (III., IV., V. i </w:t>
      </w:r>
    </w:p>
    <w:p w:rsidR="00E41612" w:rsidRPr="00E41612" w:rsidRDefault="00E41612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 etapa)</w:t>
      </w: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je članove Upravnog vijeća informirao </w:t>
      </w:r>
      <w:r w:rsidRPr="00394CA1">
        <w:rPr>
          <w:rFonts w:ascii="Times New Roman" w:eastAsia="Calibri" w:hAnsi="Times New Roman" w:cs="Times New Roman"/>
        </w:rPr>
        <w:t>o p</w:t>
      </w:r>
      <w:r>
        <w:rPr>
          <w:rFonts w:ascii="Times New Roman" w:eastAsia="Calibri" w:hAnsi="Times New Roman" w:cs="Times New Roman"/>
        </w:rPr>
        <w:t>oduzetim radnjama te prijedlozima</w:t>
      </w:r>
      <w:r w:rsidRPr="00394CA1">
        <w:rPr>
          <w:rFonts w:ascii="Times New Roman" w:eastAsia="Calibri" w:hAnsi="Times New Roman" w:cs="Times New Roman"/>
        </w:rPr>
        <w:t xml:space="preserve"> aktivnosti u cilju podnošenja projektnog prijedloga za dodjelu bespovratnih sredstava namijenjenih provedbi projekata koji se financiraju iz Nacionalnog plana oporavka i otpornosti 2021.-2026. </w:t>
      </w:r>
    </w:p>
    <w:p w:rsid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4CA1">
        <w:rPr>
          <w:rFonts w:ascii="Times New Roman" w:eastAsia="Calibri" w:hAnsi="Times New Roman" w:cs="Times New Roman"/>
        </w:rPr>
        <w:t>Temeljem dokumenta S</w:t>
      </w:r>
      <w:r>
        <w:rPr>
          <w:rFonts w:ascii="Times New Roman" w:eastAsia="Calibri" w:hAnsi="Times New Roman" w:cs="Times New Roman"/>
        </w:rPr>
        <w:t xml:space="preserve">trateški plan Dvora Trakošćan </w:t>
      </w:r>
      <w:r w:rsidRPr="00394CA1">
        <w:rPr>
          <w:rFonts w:ascii="Times New Roman" w:eastAsia="Calibri" w:hAnsi="Times New Roman" w:cs="Times New Roman"/>
        </w:rPr>
        <w:t>jedan od temeljnih ciljeva je održivo gospodarsko korištenje kulturnoga dobra dvorca Trakošćan. Upravno vijeće na 12. sjednici dana 07.11.2018. donosi Odluku o realizaciji plana u dijelu realizacije dodatnih atrakcija s rješavanjem barijera za invalide pod radnim naslovom</w:t>
      </w:r>
      <w:r>
        <w:rPr>
          <w:rFonts w:ascii="Times New Roman" w:eastAsia="Calibri" w:hAnsi="Times New Roman" w:cs="Times New Roman"/>
        </w:rPr>
        <w:t xml:space="preserve"> </w:t>
      </w:r>
      <w:r w:rsidRPr="00394CA1">
        <w:rPr>
          <w:rFonts w:ascii="Times New Roman" w:eastAsia="Calibri" w:hAnsi="Times New Roman" w:cs="Times New Roman"/>
        </w:rPr>
        <w:t>Prilagodba prostora Dvora Trakošćan za pristup i kretanje osobama s teškoćama u kretanju</w:t>
      </w: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4CA1">
        <w:rPr>
          <w:rFonts w:ascii="Times New Roman" w:eastAsia="Calibri" w:hAnsi="Times New Roman" w:cs="Times New Roman"/>
        </w:rPr>
        <w:t>U tom cilju izrađen je Idejni projekt te je ishođena Lokacijska dozvola za cijeli projekt (kolovoz 2020.)</w:t>
      </w:r>
      <w:r>
        <w:rPr>
          <w:rFonts w:ascii="Times New Roman" w:eastAsia="Calibri" w:hAnsi="Times New Roman" w:cs="Times New Roman"/>
        </w:rPr>
        <w:t xml:space="preserve"> </w:t>
      </w:r>
      <w:r w:rsidRPr="00394CA1">
        <w:rPr>
          <w:rFonts w:ascii="Times New Roman" w:eastAsia="Calibri" w:hAnsi="Times New Roman" w:cs="Times New Roman"/>
        </w:rPr>
        <w:t>koji predviđa realizaciju u 6 etapa:</w:t>
      </w:r>
    </w:p>
    <w:p w:rsidR="00597244" w:rsidRPr="00394CA1" w:rsidRDefault="00597244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Uređenje staze i puta sa sjeverne strane Trakošćanskog jezera</w:t>
            </w:r>
          </w:p>
        </w:tc>
        <w:tc>
          <w:tcPr>
            <w:tcW w:w="3964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realizirano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Uređenje sjevernog dijela pješačke staze oko jezera sa rekonstrukcijom postojećih drvenih mostova</w:t>
            </w: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realizirano (svibanj 2022.),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tehnički pregled 14.06.2022.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Izgradnja pješačkog mosta preko Trakošćanskog jezera</w:t>
            </w: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izrađen glavni projekt i podnesen zahtjev za građevinsku dozvolu (ožujak 2022.)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677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Uređenje južne pješačke staze oko jezera</w:t>
            </w: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izrađen glavni projekt i podnesen zahtjev za građevinsku dozvolu (svibanj 2022.)</w:t>
            </w:r>
          </w:p>
        </w:tc>
      </w:tr>
      <w:tr w:rsidR="00394CA1" w:rsidRPr="00394CA1" w:rsidTr="00394CA1">
        <w:trPr>
          <w:trHeight w:val="285"/>
        </w:trPr>
        <w:tc>
          <w:tcPr>
            <w:tcW w:w="421" w:type="dxa"/>
            <w:vMerge w:val="restart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677" w:type="dxa"/>
            <w:vMerge w:val="restart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Izgradnja uspinjače</w:t>
            </w: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ugovoreni projekti</w:t>
            </w:r>
          </w:p>
        </w:tc>
      </w:tr>
      <w:tr w:rsidR="00394CA1" w:rsidRPr="00394CA1" w:rsidTr="00394CA1">
        <w:trPr>
          <w:trHeight w:val="285"/>
        </w:trPr>
        <w:tc>
          <w:tcPr>
            <w:tcW w:w="421" w:type="dxa"/>
            <w:vMerge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treba još: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-usuglašavanje rješenja s Konzervatorskim odjelom u Varaždinu (lipanj 2022.)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-dovršenje glavnih projekata te podnošenje zahtjeva za građevinsku dozvolu najkasnije do kraja srpnja 2022.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-ishoditi građevinsku dozvolu (kolovoz 2022.)</w:t>
            </w:r>
          </w:p>
        </w:tc>
      </w:tr>
      <w:tr w:rsidR="00394CA1" w:rsidRPr="00394CA1" w:rsidTr="00394CA1">
        <w:trPr>
          <w:trHeight w:val="143"/>
        </w:trPr>
        <w:tc>
          <w:tcPr>
            <w:tcW w:w="421" w:type="dxa"/>
            <w:vMerge w:val="restart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677" w:type="dxa"/>
            <w:vMerge w:val="restart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Ugradnja dizala i podiznih sklopivih platformi u dvorcu</w:t>
            </w: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ugovoreni projekti</w:t>
            </w:r>
          </w:p>
        </w:tc>
      </w:tr>
      <w:tr w:rsidR="00394CA1" w:rsidRPr="00394CA1" w:rsidTr="00394CA1">
        <w:trPr>
          <w:trHeight w:val="142"/>
        </w:trPr>
        <w:tc>
          <w:tcPr>
            <w:tcW w:w="421" w:type="dxa"/>
            <w:vMerge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Merge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4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4CA1">
              <w:rPr>
                <w:rFonts w:ascii="Times New Roman" w:eastAsia="Calibri" w:hAnsi="Times New Roman" w:cs="Times New Roman"/>
                <w:b/>
              </w:rPr>
              <w:t>treba još: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-usuglašavanje rješenja s Konzervatorskim odjelom u Varaždinu (lipanj 2022.)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lastRenderedPageBreak/>
              <w:t>-dovršenje glavnih projekata te podnošenje zahtjeva za građevinsku dozvolu najkasnije do kraja srpnja 2022.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94CA1">
              <w:rPr>
                <w:rFonts w:ascii="Times New Roman" w:eastAsia="Calibri" w:hAnsi="Times New Roman" w:cs="Times New Roman"/>
              </w:rPr>
              <w:t>-ishoditi građevinsku dozvolu (kolovoz 2022.)</w:t>
            </w:r>
          </w:p>
        </w:tc>
      </w:tr>
    </w:tbl>
    <w:p w:rsidR="00394CA1" w:rsidRPr="00394CA1" w:rsidRDefault="00394CA1" w:rsidP="00394CA1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</w:p>
    <w:p w:rsidR="00394CA1" w:rsidRPr="00394CA1" w:rsidRDefault="00394CA1" w:rsidP="00394CA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Uz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pretpostavku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da se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dovrši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dokumentacija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u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točkama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5. </w:t>
      </w:r>
      <w:proofErr w:type="gramStart"/>
      <w:r w:rsidRPr="00394CA1">
        <w:rPr>
          <w:rFonts w:ascii="Times New Roman" w:eastAsiaTheme="minorEastAsia" w:hAnsi="Times New Roman" w:cs="Times New Roman"/>
          <w:lang w:val="en-US"/>
        </w:rPr>
        <w:t>i</w:t>
      </w:r>
      <w:proofErr w:type="gramEnd"/>
      <w:r w:rsidRPr="00394CA1">
        <w:rPr>
          <w:rFonts w:ascii="Times New Roman" w:eastAsiaTheme="minorEastAsia" w:hAnsi="Times New Roman" w:cs="Times New Roman"/>
          <w:lang w:val="en-US"/>
        </w:rPr>
        <w:t xml:space="preserve"> 6. </w:t>
      </w:r>
      <w:proofErr w:type="spellStart"/>
      <w:proofErr w:type="gramStart"/>
      <w:r w:rsidRPr="00394CA1">
        <w:rPr>
          <w:rFonts w:ascii="Times New Roman" w:eastAsiaTheme="minorEastAsia" w:hAnsi="Times New Roman" w:cs="Times New Roman"/>
          <w:lang w:val="en-US"/>
        </w:rPr>
        <w:t>te</w:t>
      </w:r>
      <w:proofErr w:type="spellEnd"/>
      <w:proofErr w:type="gram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izdaju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dozvole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za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točke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3., 4., 5. </w:t>
      </w:r>
      <w:proofErr w:type="gramStart"/>
      <w:r w:rsidRPr="00394CA1">
        <w:rPr>
          <w:rFonts w:ascii="Times New Roman" w:eastAsiaTheme="minorEastAsia" w:hAnsi="Times New Roman" w:cs="Times New Roman"/>
          <w:lang w:val="en-US"/>
        </w:rPr>
        <w:t>i</w:t>
      </w:r>
      <w:proofErr w:type="gramEnd"/>
      <w:r w:rsidRPr="00394CA1">
        <w:rPr>
          <w:rFonts w:ascii="Times New Roman" w:eastAsiaTheme="minorEastAsia" w:hAnsi="Times New Roman" w:cs="Times New Roman"/>
          <w:lang w:val="en-US"/>
        </w:rPr>
        <w:t xml:space="preserve"> 6. </w:t>
      </w:r>
      <w:proofErr w:type="spellStart"/>
      <w:proofErr w:type="gramStart"/>
      <w:r w:rsidRPr="00394CA1">
        <w:rPr>
          <w:rFonts w:ascii="Times New Roman" w:eastAsiaTheme="minorEastAsia" w:hAnsi="Times New Roman" w:cs="Times New Roman"/>
          <w:lang w:val="en-US"/>
        </w:rPr>
        <w:t>stiću</w:t>
      </w:r>
      <w:proofErr w:type="spellEnd"/>
      <w:proofErr w:type="gramEnd"/>
      <w:r w:rsidRPr="00394CA1">
        <w:rPr>
          <w:rFonts w:ascii="Times New Roman" w:eastAsiaTheme="minorEastAsia" w:hAnsi="Times New Roman" w:cs="Times New Roman"/>
          <w:lang w:val="en-US"/>
        </w:rPr>
        <w:t xml:space="preserve"> se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uvjeti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da se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realizacija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nastavka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projekta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prijavi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na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mjeru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>: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394CA1">
        <w:rPr>
          <w:rFonts w:ascii="Times New Roman" w:eastAsiaTheme="minorEastAsia" w:hAnsi="Times New Roman" w:cs="Times New Roman"/>
          <w:lang w:val="en-US"/>
        </w:rPr>
        <w:t xml:space="preserve">C1.6. R1-I1 –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Regionalna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diversifikacija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i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specijalizacija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hrvatskog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turizma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kroz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ulaganja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u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razvoj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turističkih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proizvoda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visoke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dodane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94CA1">
        <w:rPr>
          <w:rFonts w:ascii="Times New Roman" w:eastAsiaTheme="minorEastAsia" w:hAnsi="Times New Roman" w:cs="Times New Roman"/>
          <w:lang w:val="en-US"/>
        </w:rPr>
        <w:t>vrijednosti</w:t>
      </w:r>
      <w:proofErr w:type="spellEnd"/>
      <w:r w:rsidRPr="00394CA1">
        <w:rPr>
          <w:rFonts w:ascii="Times New Roman" w:eastAsiaTheme="minorEastAsia" w:hAnsi="Times New Roman" w:cs="Times New Roman"/>
          <w:lang w:val="en-US"/>
        </w:rPr>
        <w:t>.</w:t>
      </w:r>
    </w:p>
    <w:p w:rsidR="00394CA1" w:rsidRPr="00394CA1" w:rsidRDefault="00394CA1" w:rsidP="00394CA1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4CA1">
        <w:rPr>
          <w:rFonts w:ascii="Times New Roman" w:hAnsi="Times New Roman" w:cs="Times New Roman"/>
          <w:b/>
        </w:rPr>
        <w:t>Aktivnosti do sada: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bez PDV-a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s PDV-om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Projekt staze I. etapa - PRE-CON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14.200,00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17.750,00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Radovi I. etapa - TTG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1.140.199,52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1.425.249,40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 xml:space="preserve">Nadzor I. etapa – UOIG </w:t>
            </w:r>
            <w:proofErr w:type="spellStart"/>
            <w:r w:rsidRPr="00394CA1">
              <w:rPr>
                <w:rFonts w:ascii="Times New Roman" w:hAnsi="Times New Roman" w:cs="Times New Roman"/>
              </w:rPr>
              <w:t>Premužić</w:t>
            </w:r>
            <w:proofErr w:type="spellEnd"/>
            <w:r w:rsidRPr="00394CA1">
              <w:rPr>
                <w:rFonts w:ascii="Times New Roman" w:hAnsi="Times New Roman" w:cs="Times New Roman"/>
              </w:rPr>
              <w:t xml:space="preserve"> Blaženko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17.102,00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21.377,50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Idejni projekt za lokacijsku dozvolu i glavni projekt za II. etapu – ARHITEKTONSKA RADIONICA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39.000,00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39.000,00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Statika – STABLO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19.900,00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19.900,00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Radovi II. etapa – TTG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1.767.380,20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2.209.225,25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 xml:space="preserve">Nadzor II. etapa - UOIG </w:t>
            </w:r>
            <w:proofErr w:type="spellStart"/>
            <w:r w:rsidRPr="00394CA1">
              <w:rPr>
                <w:rFonts w:ascii="Times New Roman" w:hAnsi="Times New Roman" w:cs="Times New Roman"/>
              </w:rPr>
              <w:t>Premužić</w:t>
            </w:r>
            <w:proofErr w:type="spellEnd"/>
            <w:r w:rsidRPr="00394CA1">
              <w:rPr>
                <w:rFonts w:ascii="Times New Roman" w:hAnsi="Times New Roman" w:cs="Times New Roman"/>
              </w:rPr>
              <w:t xml:space="preserve"> Blaženko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26.500,00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33.125,00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Dokumentacija most III. etapa – BILOTA INŽENJERING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152.000,00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190.000,00</w:t>
            </w:r>
          </w:p>
        </w:tc>
      </w:tr>
      <w:tr w:rsidR="00394CA1" w:rsidRPr="00394CA1" w:rsidTr="00394CA1">
        <w:tc>
          <w:tcPr>
            <w:tcW w:w="421" w:type="dxa"/>
            <w:vAlign w:val="center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Dokumentacija uspinjača i liftovi V. i VI. etapa – SENS DESIGN d.o.o. i USUS FRUCTUS GEO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460.000,00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+ izmjene 138.000,00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575.000,00</w:t>
            </w:r>
          </w:p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+ izmjene 172.500,00</w:t>
            </w:r>
          </w:p>
        </w:tc>
      </w:tr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Staza IV. etapa – STUDIO NEXAR d.o.o.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67.000,00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83.750,00</w:t>
            </w:r>
          </w:p>
        </w:tc>
      </w:tr>
      <w:tr w:rsidR="00394CA1" w:rsidRPr="00394CA1" w:rsidTr="00394CA1">
        <w:tc>
          <w:tcPr>
            <w:tcW w:w="4530" w:type="dxa"/>
            <w:gridSpan w:val="2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3.841.281,72</w:t>
            </w:r>
          </w:p>
        </w:tc>
        <w:tc>
          <w:tcPr>
            <w:tcW w:w="2266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4.786.877,15</w:t>
            </w:r>
          </w:p>
        </w:tc>
      </w:tr>
    </w:tbl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4CA1">
        <w:rPr>
          <w:rFonts w:ascii="Times New Roman" w:hAnsi="Times New Roman" w:cs="Times New Roman"/>
          <w:b/>
        </w:rPr>
        <w:t>Preostali troškovi: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2268"/>
        <w:gridCol w:w="2263"/>
      </w:tblGrid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III. etapa most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7.000.000,00</w:t>
            </w: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8.750.000,00</w:t>
            </w:r>
          </w:p>
        </w:tc>
      </w:tr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IV. etapa staza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3.000.000,00</w:t>
            </w: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3.750.000,00</w:t>
            </w:r>
          </w:p>
        </w:tc>
      </w:tr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V. etapa kosi lift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12.425.000,00</w:t>
            </w: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15.531.250,00</w:t>
            </w:r>
          </w:p>
        </w:tc>
      </w:tr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VI. etapa lift i platforme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6.060.000,00</w:t>
            </w: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7.575.000,00</w:t>
            </w:r>
          </w:p>
        </w:tc>
      </w:tr>
      <w:tr w:rsidR="00394CA1" w:rsidRPr="00394CA1" w:rsidTr="00394CA1">
        <w:tc>
          <w:tcPr>
            <w:tcW w:w="4531" w:type="dxa"/>
            <w:gridSpan w:val="2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28.485.000,00</w:t>
            </w: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35.606.250,00</w:t>
            </w:r>
          </w:p>
        </w:tc>
      </w:tr>
      <w:tr w:rsidR="00394CA1" w:rsidRPr="00394CA1" w:rsidTr="00394CA1">
        <w:tc>
          <w:tcPr>
            <w:tcW w:w="421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Nadzor i (4%)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1.424.250,00</w:t>
            </w:r>
          </w:p>
        </w:tc>
      </w:tr>
      <w:tr w:rsidR="00394CA1" w:rsidRPr="00394CA1" w:rsidTr="00394CA1">
        <w:tc>
          <w:tcPr>
            <w:tcW w:w="4531" w:type="dxa"/>
            <w:gridSpan w:val="2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4CA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4CA1">
              <w:rPr>
                <w:rFonts w:ascii="Times New Roman" w:hAnsi="Times New Roman" w:cs="Times New Roman"/>
                <w:b/>
              </w:rPr>
              <w:t>37.030.500,00</w:t>
            </w:r>
          </w:p>
        </w:tc>
      </w:tr>
      <w:tr w:rsidR="00394CA1" w:rsidRPr="00394CA1" w:rsidTr="00394CA1">
        <w:tc>
          <w:tcPr>
            <w:tcW w:w="4531" w:type="dxa"/>
            <w:gridSpan w:val="2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Uloženo + izvedeno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4.786.877,15</w:t>
            </w:r>
          </w:p>
        </w:tc>
      </w:tr>
      <w:tr w:rsidR="00394CA1" w:rsidRPr="00394CA1" w:rsidTr="00394CA1">
        <w:tc>
          <w:tcPr>
            <w:tcW w:w="4531" w:type="dxa"/>
            <w:gridSpan w:val="2"/>
          </w:tcPr>
          <w:p w:rsidR="00394CA1" w:rsidRPr="00394CA1" w:rsidRDefault="00394CA1" w:rsidP="00394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2268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94CA1" w:rsidRPr="00394CA1" w:rsidRDefault="00394CA1" w:rsidP="00394CA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94CA1">
              <w:rPr>
                <w:rFonts w:ascii="Times New Roman" w:hAnsi="Times New Roman" w:cs="Times New Roman"/>
              </w:rPr>
              <w:t>41.817.377,15</w:t>
            </w:r>
          </w:p>
        </w:tc>
      </w:tr>
    </w:tbl>
    <w:p w:rsidR="00394CA1" w:rsidRPr="00394CA1" w:rsidRDefault="001B5144" w:rsidP="00394CA1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394CA1">
        <w:rPr>
          <w:rFonts w:ascii="Times New Roman" w:eastAsia="Calibri" w:hAnsi="Times New Roman" w:cs="Times New Roman"/>
        </w:rPr>
        <w:t>Troškovi su planirani na bazi cijena iz prosinca 2021.</w:t>
      </w:r>
      <w:r>
        <w:rPr>
          <w:rFonts w:ascii="Times New Roman" w:eastAsia="Calibri" w:hAnsi="Times New Roman" w:cs="Times New Roman"/>
        </w:rPr>
        <w:t xml:space="preserve"> godine)</w:t>
      </w:r>
    </w:p>
    <w:p w:rsidR="001B5144" w:rsidRDefault="001B5144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4CA1">
        <w:rPr>
          <w:rFonts w:ascii="Times New Roman" w:eastAsia="Calibri" w:hAnsi="Times New Roman" w:cs="Times New Roman"/>
        </w:rPr>
        <w:t>Projektni prijedlog je već 2020. godine prijavljen Javnoj ustanovi za regionalni razvoj Varaždinske županije koja je isti uvrstila među 30 projekata s područja Varaždinske županije te ga prijavila MRRFEU-u kao prijedlog za financiranje kroz Mehanizam za oporavak i otpornost (potvrda- prilog 2).</w:t>
      </w: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4CA1" w:rsidRPr="00394CA1" w:rsidRDefault="00394CA1" w:rsidP="00394CA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4CA1">
        <w:rPr>
          <w:rFonts w:ascii="Times New Roman" w:eastAsia="Calibri" w:hAnsi="Times New Roman" w:cs="Times New Roman"/>
        </w:rPr>
        <w:t>S Javnom ustanovom za regionalni razvoj Varaždinske županije smo kontinuirano u kontaktu te radimo na operacionalizaciji prijave rok koji je rujan 2022. godine. Temeljni uvjet su pravomoćne građevinske dozvole.</w:t>
      </w:r>
    </w:p>
    <w:p w:rsidR="00394CA1" w:rsidRPr="00394CA1" w:rsidRDefault="00394CA1" w:rsidP="00394CA1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</w:p>
    <w:p w:rsidR="00E41612" w:rsidRPr="00E41612" w:rsidRDefault="00E41612" w:rsidP="00E4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Nakon kraće rasprave Upravno vijeće donosi O</w:t>
      </w:r>
      <w:r w:rsidR="000660C8">
        <w:rPr>
          <w:rFonts w:ascii="Times New Roman" w:hAnsi="Times New Roman" w:cs="Times New Roman"/>
          <w:sz w:val="24"/>
          <w:szCs w:val="24"/>
        </w:rPr>
        <w:t>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načinu realizacije projekta </w:t>
      </w:r>
      <w:r w:rsidRPr="00E41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Prilagodbe prostora Dvora Trakošćan za pristup i kretanje osobama s teškoćama u kretanju (III., IV., V. i </w:t>
      </w:r>
    </w:p>
    <w:p w:rsidR="00E41612" w:rsidRDefault="00E41612" w:rsidP="00E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eastAsia="Times New Roman" w:hAnsi="Times New Roman" w:cs="Times New Roman"/>
          <w:sz w:val="24"/>
          <w:szCs w:val="24"/>
          <w:lang w:eastAsia="hr-HR"/>
        </w:rPr>
        <w:t>VI. etapa)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sljedećim sadržajem:</w:t>
      </w:r>
    </w:p>
    <w:p w:rsidR="001B5144" w:rsidRPr="00E41612" w:rsidRDefault="001B5144" w:rsidP="00E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12" w:rsidRPr="00E41612" w:rsidRDefault="00E41612" w:rsidP="00E41612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E41612">
        <w:rPr>
          <w:rFonts w:ascii="Times New Roman" w:hAnsi="Times New Roman" w:cs="Times New Roman"/>
          <w:sz w:val="24"/>
          <w:szCs w:val="24"/>
        </w:rPr>
        <w:t>Članak 1.</w:t>
      </w:r>
    </w:p>
    <w:p w:rsidR="00E41612" w:rsidRPr="00E41612" w:rsidRDefault="00E41612" w:rsidP="00E41612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Ovom Odlukom utvrđuje se način realizacije projekta Prilagodbe prostora Dvora Trakošćan za pristup i kretanje osobama s teškoćama u kretanju u etapama III., IV.,V. i VI.</w:t>
      </w:r>
    </w:p>
    <w:p w:rsidR="00E41612" w:rsidRPr="00E41612" w:rsidRDefault="00E41612" w:rsidP="00E41612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612" w:rsidRPr="00E41612" w:rsidRDefault="00E41612" w:rsidP="00E41612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12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E41612" w:rsidRPr="00E41612" w:rsidRDefault="00E41612" w:rsidP="00E41612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12">
        <w:rPr>
          <w:rFonts w:ascii="Times New Roman" w:hAnsi="Times New Roman" w:cs="Times New Roman"/>
          <w:color w:val="000000" w:themeColor="text1"/>
          <w:sz w:val="24"/>
          <w:szCs w:val="24"/>
        </w:rPr>
        <w:t>Zbog nemogućnosti točnog određivanja rokova rezultata prijave na mjeru C1.6 R1-I1 Regionalna diversifikacija i specijalizacija hrvatskog turizma kroz ulaganja u razvoj turističkih proizvoda visoke dodatne vrijednosti, projekt iz članka 1. ove Odluke realizirati će se na način:</w:t>
      </w:r>
    </w:p>
    <w:p w:rsidR="00E41612" w:rsidRPr="00E41612" w:rsidRDefault="00E41612" w:rsidP="00E41612">
      <w:pPr>
        <w:numPr>
          <w:ilvl w:val="0"/>
          <w:numId w:val="36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12">
        <w:rPr>
          <w:rFonts w:ascii="Times New Roman" w:hAnsi="Times New Roman" w:cs="Times New Roman"/>
          <w:color w:val="000000" w:themeColor="text1"/>
          <w:sz w:val="24"/>
          <w:szCs w:val="24"/>
        </w:rPr>
        <w:t>IV. etapa (uređenje južne pješačke staze oko jezera) prijaviti će se na programsko financiranje Ministarstvu kulture i medija za 2023. godinu.</w:t>
      </w:r>
    </w:p>
    <w:p w:rsidR="00E41612" w:rsidRPr="00E41612" w:rsidRDefault="00E41612" w:rsidP="00E41612">
      <w:pPr>
        <w:numPr>
          <w:ilvl w:val="0"/>
          <w:numId w:val="36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12">
        <w:rPr>
          <w:rFonts w:ascii="Times New Roman" w:hAnsi="Times New Roman" w:cs="Times New Roman"/>
          <w:color w:val="000000" w:themeColor="text1"/>
          <w:sz w:val="24"/>
          <w:szCs w:val="24"/>
        </w:rPr>
        <w:t>III. etapa (izgradnja pješačkog mosta preko Trakošćanskog jezera), V. etapa (izgradnja uspinjače) te VI. etapa (ugradnja dizala i podiznih platformi u dvorcu) prijaviti će se na mjeru C1.6 R1-I1 Regionalna diversifikacija i specijalizacija hrvatskog turizma kroz ulaganja u razvoj turističkih proizvoda visoke dodatne vrijednosti.</w:t>
      </w:r>
    </w:p>
    <w:p w:rsidR="00E41612" w:rsidRDefault="00E41612" w:rsidP="00E41612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1612" w:rsidRPr="00E41612" w:rsidRDefault="00E41612" w:rsidP="00E41612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Članak 3.</w:t>
      </w:r>
    </w:p>
    <w:p w:rsidR="00E41612" w:rsidRPr="00E41612" w:rsidRDefault="00E41612" w:rsidP="00E41612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Ova Odluka stupa na snagu prvi dan od donošenja.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C3B67" w:rsidRDefault="005C3B67" w:rsidP="006A2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612" w:rsidRDefault="00467ECD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7EC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41612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Odluku o </w:t>
      </w:r>
      <w:r w:rsidR="00E41612"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načinu </w:t>
      </w:r>
    </w:p>
    <w:p w:rsidR="00E41612" w:rsidRDefault="00E41612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realizacije projekta Prilagodbe prostora Dvora Trakošćan za pristup i </w:t>
      </w:r>
    </w:p>
    <w:p w:rsidR="00E41612" w:rsidRPr="00E41612" w:rsidRDefault="00E41612" w:rsidP="00E4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kretanje osobama s teškoćama u kretanju (III., IV., V. i VI. etapa)</w:t>
      </w:r>
      <w:r w:rsidR="00863C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7054" w:rsidRDefault="00197054" w:rsidP="00E416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B43" w:rsidRDefault="00334B43" w:rsidP="00AE0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67" w:rsidRPr="00467ECD" w:rsidRDefault="005C3B67" w:rsidP="00AE0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B8" w:rsidRDefault="00243AFF" w:rsidP="009C7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6.) </w:t>
      </w:r>
      <w:r w:rsidR="009C72B8" w:rsidRPr="009C72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Prijedloga odluke o davanju suglasnosti za pravni posao prodaje </w:t>
      </w:r>
    </w:p>
    <w:p w:rsidR="009C72B8" w:rsidRPr="009C72B8" w:rsidRDefault="009C72B8" w:rsidP="009C7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9C72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nekretnine – stana</w:t>
      </w:r>
    </w:p>
    <w:p w:rsidR="008C41BC" w:rsidRDefault="008C41BC" w:rsidP="008C41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661B" w:rsidRDefault="006B661B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je članove Upravnog vijeća upoznao s problematikom prodaje nekretnine – stana na 8. sjednici održanoj 31.01.2022. godine. Predsjednica Upravnog vijeća dr.sc.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konzultirala se sa pravnom službom Ministarstva kulture i medija. </w:t>
      </w:r>
    </w:p>
    <w:p w:rsidR="006B661B" w:rsidRDefault="006B661B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2B8" w:rsidRPr="00DD3A53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Upravno vijeće donosi Prijedlog odluke o davanju suglasnosti za pravni posao prodaje nekretnine – stana sa sljedećim sadržajem: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„Članak 1.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Predmet ovog Prijedloga odluke je davanje suglasnosti za pravni posao prodaje nekretnine - stana na adresi Trakošćan 25, Trakošćan, 42250 Lepoglava, i to na 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9C72B8">
        <w:rPr>
          <w:rFonts w:ascii="Times New Roman" w:hAnsi="Times New Roman" w:cs="Times New Roman"/>
          <w:sz w:val="24"/>
          <w:szCs w:val="24"/>
        </w:rPr>
        <w:t>. 8733/12, k.o. Trakošćan, u naravi Kuća broj 25, neto korisne površine 65,36 m² i dvorište u Trakošćanu, ukupno 304 m², koji prostor predstavlja vlasništvo Dvora Trakošćan stanaru Stjepanu Županiću.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Vrijednost nekretnine – stana iz članka 1. ovog Prijedloga odluke za potrebe prodaje stanaru Stjepanu Županiću, prema uvjetima iz Zakona o prodaji stanova na kojima postoji stanarsko pravo, iznosi 99.793,32 kn, a procijenjena je od strane ovlaštenog sudskog vještaka za graditeljstvo i procjenu nekretnina.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Iznos od 99.793,32 kn za nekretninu – stan iz članka 1. ovog Prijedloga odluke Stjepan Županić je dužan uplatiti sukladno Uredbi o utvrđivanju cijene stana na način: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12"/>
        <w:tblW w:w="5098" w:type="dxa"/>
        <w:jc w:val="center"/>
        <w:tblLook w:val="04A0" w:firstRow="1" w:lastRow="0" w:firstColumn="1" w:lastColumn="0" w:noHBand="0" w:noVBand="1"/>
      </w:tblPr>
      <w:tblGrid>
        <w:gridCol w:w="3114"/>
        <w:gridCol w:w="1984"/>
      </w:tblGrid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procijenjena vrijednost: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99.793,32 kn</w:t>
            </w: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uplatiti po ugovoru 3%: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2.993,80 kn</w:t>
            </w: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ostatak glavnice:              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(članak 14. Uredbe)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96.799,52 kn</w:t>
            </w:r>
          </w:p>
        </w:tc>
      </w:tr>
      <w:tr w:rsidR="009C72B8" w:rsidRPr="009C72B8" w:rsidTr="002629A7">
        <w:trPr>
          <w:trHeight w:val="501"/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nominalna kamatna stopa 1%: 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(članak 14. Uredbe)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otplata 20 godina 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(24 mjeseci)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ukupna kamata: 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10.042,60 kn</w:t>
            </w: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dug: 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106.842,12 kn</w:t>
            </w:r>
          </w:p>
        </w:tc>
      </w:tr>
      <w:tr w:rsidR="009C72B8" w:rsidRPr="009C72B8" w:rsidTr="002629A7">
        <w:trPr>
          <w:jc w:val="center"/>
        </w:trPr>
        <w:tc>
          <w:tcPr>
            <w:tcW w:w="3114" w:type="dxa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anuiteta: 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(tečaj eura odrediti će se prema srednjem tečaju HNB-a na dan sklapanja ugovora)</w:t>
            </w:r>
          </w:p>
        </w:tc>
        <w:tc>
          <w:tcPr>
            <w:tcW w:w="1984" w:type="dxa"/>
            <w:vAlign w:val="center"/>
          </w:tcPr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445,18 kn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(59,22 EUR)</w:t>
            </w:r>
          </w:p>
          <w:p w:rsidR="009C72B8" w:rsidRPr="009C72B8" w:rsidRDefault="009C72B8" w:rsidP="009C72B8">
            <w:pPr>
              <w:spacing w:after="16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eastAsia="Calibri" w:hAnsi="Times New Roman" w:cs="Times New Roman"/>
                <w:sz w:val="24"/>
                <w:szCs w:val="24"/>
              </w:rPr>
              <w:t>tečaj: 7,51726</w:t>
            </w:r>
          </w:p>
        </w:tc>
      </w:tr>
    </w:tbl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Članak 4.</w:t>
      </w:r>
    </w:p>
    <w:p w:rsid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Pravni posao prodaje nekretnine – stana iz članka 1. ovog Prijedloga odluke provesti će se na način predviđen zakonom.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B8">
        <w:rPr>
          <w:rFonts w:ascii="Times New Roman" w:hAnsi="Times New Roman" w:cs="Times New Roman"/>
          <w:color w:val="000000" w:themeColor="text1"/>
          <w:sz w:val="24"/>
          <w:szCs w:val="24"/>
        </w:rPr>
        <w:t>Članak 5.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Sukladno Statutu Muzeja Dvor Trakošćan bez suglasnosti Osnivača nije moguće otuđiti nekretninu stoga za prodaju nekretnine - stana iz članka 1. ovog Prijedloga odluke treba ishoditi suglasnost Ministarstva kulture i medija.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2B8" w:rsidRPr="009C72B8" w:rsidRDefault="009C72B8" w:rsidP="009C72B8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Članak 6.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Ovaj Prijedlog odluke stupa na snagu prvi dan od donošenja.“</w:t>
      </w:r>
    </w:p>
    <w:p w:rsidR="009C72B8" w:rsidRPr="009C72B8" w:rsidRDefault="009C72B8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2B8" w:rsidRDefault="00D569E8" w:rsidP="00D06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Upravno vijeće na prijedlog ravnatelja jednoglasno donosi </w:t>
      </w:r>
      <w:r w:rsidR="009C72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</w:t>
      </w:r>
    </w:p>
    <w:p w:rsidR="00D569E8" w:rsidRDefault="009C72B8" w:rsidP="00D06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D569E8" w:rsidRPr="00D5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davanju suglasnosti za pravni posao prodaje nekretnine </w:t>
      </w:r>
      <w:r w:rsidR="00863C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stana</w:t>
      </w:r>
      <w:r w:rsidR="00863C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569E8" w:rsidRPr="00D0687B" w:rsidRDefault="00D569E8" w:rsidP="00D06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</w:p>
    <w:p w:rsidR="00D0687B" w:rsidRDefault="00D0687B" w:rsidP="00CB7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054" w:rsidRDefault="00197054" w:rsidP="00243A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D8" w:rsidRDefault="00243AFF" w:rsidP="0086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="008F1FB8">
        <w:rPr>
          <w:rFonts w:ascii="Times New Roman" w:hAnsi="Times New Roman" w:cs="Times New Roman"/>
          <w:b/>
          <w:sz w:val="24"/>
          <w:szCs w:val="24"/>
        </w:rPr>
        <w:t>.)</w:t>
      </w:r>
      <w:r w:rsidR="0089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CD8" w:rsidRPr="00863C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davanju u zakup javne površine dijela južne livade</w:t>
      </w:r>
    </w:p>
    <w:p w:rsidR="002561B4" w:rsidRDefault="002561B4" w:rsidP="00863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4A6D" w:rsidRDefault="002561B4" w:rsidP="00863CD8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Ravnatelj je članove Upravnog vijeća upoznao s problematikom dava</w:t>
      </w:r>
      <w:r w:rsidR="00863CD8">
        <w:rPr>
          <w:rFonts w:ascii="Times New Roman" w:hAnsi="Times New Roman" w:cs="Times New Roman"/>
          <w:color w:val="000000" w:themeColor="text1"/>
          <w:sz w:val="24"/>
          <w:szCs w:val="24"/>
        </w:rPr>
        <w:t>nja u zakup javne površine dijela južne livade.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Upravno vijeće donosi Odluku o davanju u zakup javne površine dijela južne livade sa sljedećim sadržajem: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D8" w:rsidRPr="00863CD8" w:rsidRDefault="00863CD8" w:rsidP="00863CD8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63CD8">
        <w:rPr>
          <w:rFonts w:ascii="Times New Roman" w:hAnsi="Times New Roman" w:cs="Times New Roman"/>
          <w:sz w:val="24"/>
          <w:szCs w:val="24"/>
        </w:rPr>
        <w:t>Članak 1.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CD8">
        <w:rPr>
          <w:rFonts w:ascii="Times New Roman" w:hAnsi="Times New Roman" w:cs="Times New Roman"/>
          <w:sz w:val="24"/>
          <w:szCs w:val="24"/>
        </w:rPr>
        <w:t>Ovom Odlukom utvrđuje se davanje u zakup dijela javne površine južne livade uz upravnu zgradu dvora Trakošćan, k.č.br. 8576/1 k.o. Trakošćan, površine 10 x 10 m, radi postavljanja dječjeg igrališta za napuhavanje.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CD8" w:rsidRPr="00863CD8" w:rsidRDefault="00863CD8" w:rsidP="00863CD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CD8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CD8">
        <w:rPr>
          <w:rFonts w:ascii="Times New Roman" w:hAnsi="Times New Roman" w:cs="Times New Roman"/>
          <w:color w:val="000000" w:themeColor="text1"/>
          <w:sz w:val="24"/>
          <w:szCs w:val="24"/>
        </w:rPr>
        <w:t>Početni iznos dnevne zakupnine javne površine iz članka 1. ove Odluke iznosi 300,00 kn, bez PDV-a</w:t>
      </w:r>
    </w:p>
    <w:p w:rsid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CD8" w:rsidRPr="00863CD8" w:rsidRDefault="00863CD8" w:rsidP="00863CD8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C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Članak 3.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CD8">
        <w:rPr>
          <w:rFonts w:ascii="Times New Roman" w:hAnsi="Times New Roman" w:cs="Times New Roman"/>
          <w:color w:val="000000" w:themeColor="text1"/>
          <w:sz w:val="24"/>
          <w:szCs w:val="24"/>
        </w:rPr>
        <w:t>Javna površina iz članka 1. ove Odluke ponuditi će se u zakup u sklopu Javnog natječaja za davanje u zakup javne površine za štandove na Trgu tradicijskih obrta.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D8" w:rsidRPr="00863CD8" w:rsidRDefault="00863CD8" w:rsidP="00863CD8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3CD8">
        <w:rPr>
          <w:rFonts w:ascii="Times New Roman" w:hAnsi="Times New Roman" w:cs="Times New Roman"/>
          <w:sz w:val="24"/>
          <w:szCs w:val="24"/>
        </w:rPr>
        <w:t>Članak 4.</w:t>
      </w:r>
    </w:p>
    <w:p w:rsidR="00863CD8" w:rsidRPr="00863CD8" w:rsidRDefault="00863CD8" w:rsidP="00863CD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CD8">
        <w:rPr>
          <w:rFonts w:ascii="Times New Roman" w:hAnsi="Times New Roman" w:cs="Times New Roman"/>
          <w:sz w:val="24"/>
          <w:szCs w:val="24"/>
        </w:rPr>
        <w:t>Ova Odluka stupa na snagu prvi dan od donošenja.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63CD8" w:rsidRDefault="00863CD8" w:rsidP="00185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E8B" w:rsidRDefault="00896D22" w:rsidP="00185E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D22">
        <w:rPr>
          <w:rFonts w:ascii="Times New Roman" w:hAnsi="Times New Roman" w:cs="Times New Roman"/>
          <w:b/>
          <w:sz w:val="24"/>
          <w:szCs w:val="24"/>
        </w:rPr>
        <w:t xml:space="preserve">Zaključak: Upravno vijeće na prijedlog ravnatelja jednoglasno donosi </w:t>
      </w:r>
      <w:r w:rsidR="005C3B67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185E8B">
        <w:rPr>
          <w:rFonts w:ascii="Times New Roman" w:hAnsi="Times New Roman" w:cs="Times New Roman"/>
          <w:b/>
          <w:sz w:val="24"/>
          <w:szCs w:val="24"/>
        </w:rPr>
        <w:t xml:space="preserve">o davanju </w:t>
      </w:r>
    </w:p>
    <w:p w:rsidR="002D2D29" w:rsidRDefault="00185E8B" w:rsidP="00863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u zakup </w:t>
      </w:r>
      <w:r w:rsidR="00863CD8">
        <w:rPr>
          <w:rFonts w:ascii="Times New Roman" w:hAnsi="Times New Roman" w:cs="Times New Roman"/>
          <w:b/>
          <w:sz w:val="24"/>
          <w:szCs w:val="24"/>
        </w:rPr>
        <w:t>javne površine dijela južne livade.</w:t>
      </w:r>
    </w:p>
    <w:p w:rsidR="00D30C56" w:rsidRDefault="00D30C56" w:rsidP="0012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B43" w:rsidRDefault="00334B43" w:rsidP="0012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CD8" w:rsidRDefault="00863CD8" w:rsidP="0012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80B" w:rsidRDefault="00243AFF" w:rsidP="002C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8</w:t>
      </w:r>
      <w:r w:rsidR="002D2D29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E76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Ostala pitanja</w:t>
      </w:r>
    </w:p>
    <w:p w:rsidR="003E76DE" w:rsidRDefault="003E76DE" w:rsidP="002C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651" w:rsidRPr="003E76DE" w:rsidRDefault="003E76DE" w:rsidP="000378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6DE">
        <w:rPr>
          <w:rFonts w:ascii="Times New Roman" w:eastAsia="Times New Roman" w:hAnsi="Times New Roman" w:cs="Times New Roman"/>
          <w:sz w:val="24"/>
          <w:szCs w:val="24"/>
          <w:lang w:eastAsia="hr-HR"/>
        </w:rPr>
        <w:t>Pod točkom 8. Ostala pitanja nije bilo rasprave.</w:t>
      </w:r>
    </w:p>
    <w:p w:rsidR="008E475C" w:rsidRDefault="008E475C" w:rsidP="000378C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6DE" w:rsidRDefault="003E76DE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75" w:rsidRDefault="00D47A7F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113B">
        <w:rPr>
          <w:rFonts w:ascii="Times New Roman" w:hAnsi="Times New Roman" w:cs="Times New Roman"/>
          <w:sz w:val="24"/>
          <w:szCs w:val="24"/>
        </w:rPr>
        <w:t>je</w:t>
      </w:r>
      <w:r w:rsidR="00D30C56">
        <w:rPr>
          <w:rFonts w:ascii="Times New Roman" w:hAnsi="Times New Roman" w:cs="Times New Roman"/>
          <w:sz w:val="24"/>
          <w:szCs w:val="24"/>
        </w:rPr>
        <w:t>d</w:t>
      </w:r>
      <w:r w:rsidR="00334B43">
        <w:rPr>
          <w:rFonts w:ascii="Times New Roman" w:hAnsi="Times New Roman" w:cs="Times New Roman"/>
          <w:sz w:val="24"/>
          <w:szCs w:val="24"/>
        </w:rPr>
        <w:t xml:space="preserve">nica je završila </w:t>
      </w:r>
      <w:r w:rsidR="00C5680B">
        <w:rPr>
          <w:rFonts w:ascii="Times New Roman" w:hAnsi="Times New Roman" w:cs="Times New Roman"/>
          <w:sz w:val="24"/>
          <w:szCs w:val="24"/>
        </w:rPr>
        <w:t>s radom u 12</w:t>
      </w:r>
      <w:r w:rsidR="00334B4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FD039C" w:rsidRDefault="00A545F0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0719E8">
        <w:rPr>
          <w:rFonts w:ascii="Times New Roman" w:hAnsi="Times New Roman" w:cs="Times New Roman"/>
          <w:sz w:val="24"/>
          <w:szCs w:val="24"/>
        </w:rPr>
        <w:t>14/3- 1-1.5/3-2022/2</w:t>
      </w:r>
    </w:p>
    <w:p w:rsidR="00F00F6B" w:rsidRDefault="00F00F6B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Trakošćanu, </w:t>
      </w:r>
      <w:r w:rsidR="008442CE">
        <w:rPr>
          <w:rFonts w:ascii="Times New Roman" w:hAnsi="Times New Roman" w:cs="Times New Roman"/>
          <w:sz w:val="24"/>
          <w:szCs w:val="24"/>
        </w:rPr>
        <w:t>28.07.2022.</w:t>
      </w:r>
      <w:bookmarkStart w:id="0" w:name="_GoBack"/>
      <w:bookmarkEnd w:id="0"/>
    </w:p>
    <w:p w:rsidR="00CB6675" w:rsidRDefault="00CB6675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75" w:rsidRDefault="00CB6675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7F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Zapisničar:                 </w:t>
      </w:r>
      <w:r w:rsidR="00B5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Predsjednica Upravnog vijeća: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52D5D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5A">
        <w:rPr>
          <w:rFonts w:ascii="Times New Roman" w:hAnsi="Times New Roman" w:cs="Times New Roman"/>
          <w:sz w:val="24"/>
          <w:szCs w:val="24"/>
        </w:rPr>
        <w:t xml:space="preserve">   </w:t>
      </w:r>
      <w:r w:rsidR="0033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B43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334B43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631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4B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95A">
        <w:rPr>
          <w:rFonts w:ascii="Times New Roman" w:hAnsi="Times New Roman" w:cs="Times New Roman"/>
          <w:sz w:val="24"/>
          <w:szCs w:val="24"/>
        </w:rPr>
        <w:t xml:space="preserve"> </w:t>
      </w:r>
      <w:r w:rsidR="00B52D5D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B5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Juraga</w:t>
      </w:r>
      <w:proofErr w:type="spellEnd"/>
    </w:p>
    <w:p w:rsidR="00B52D5D" w:rsidRDefault="00B52D5D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___________________________</w:t>
      </w:r>
    </w:p>
    <w:p w:rsidR="00D47A7F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50" w:rsidRPr="007F3C8B" w:rsidRDefault="00D67F50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7F50" w:rsidRPr="007F3C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84" w:rsidRDefault="00002384" w:rsidP="007F3C8B">
      <w:pPr>
        <w:spacing w:after="0" w:line="240" w:lineRule="auto"/>
      </w:pPr>
      <w:r>
        <w:separator/>
      </w:r>
    </w:p>
  </w:endnote>
  <w:endnote w:type="continuationSeparator" w:id="0">
    <w:p w:rsidR="00002384" w:rsidRDefault="00002384" w:rsidP="007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678251"/>
      <w:docPartObj>
        <w:docPartGallery w:val="Page Numbers (Bottom of Page)"/>
        <w:docPartUnique/>
      </w:docPartObj>
    </w:sdtPr>
    <w:sdtEndPr/>
    <w:sdtContent>
      <w:p w:rsidR="00394CA1" w:rsidRDefault="00394CA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CE">
          <w:rPr>
            <w:noProof/>
          </w:rPr>
          <w:t>9</w:t>
        </w:r>
        <w:r>
          <w:fldChar w:fldCharType="end"/>
        </w:r>
      </w:p>
    </w:sdtContent>
  </w:sdt>
  <w:p w:rsidR="00394CA1" w:rsidRDefault="00394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84" w:rsidRDefault="00002384" w:rsidP="007F3C8B">
      <w:pPr>
        <w:spacing w:after="0" w:line="240" w:lineRule="auto"/>
      </w:pPr>
      <w:r>
        <w:separator/>
      </w:r>
    </w:p>
  </w:footnote>
  <w:footnote w:type="continuationSeparator" w:id="0">
    <w:p w:rsidR="00002384" w:rsidRDefault="00002384" w:rsidP="007F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7D7"/>
    <w:multiLevelType w:val="hybridMultilevel"/>
    <w:tmpl w:val="D624A00C"/>
    <w:lvl w:ilvl="0" w:tplc="821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926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5D"/>
    <w:multiLevelType w:val="hybridMultilevel"/>
    <w:tmpl w:val="B23EA0B4"/>
    <w:lvl w:ilvl="0" w:tplc="E05A7D42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3408"/>
    <w:multiLevelType w:val="multilevel"/>
    <w:tmpl w:val="A51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F7AD4"/>
    <w:multiLevelType w:val="multilevel"/>
    <w:tmpl w:val="C818C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B7258"/>
    <w:multiLevelType w:val="hybridMultilevel"/>
    <w:tmpl w:val="3F8C5006"/>
    <w:lvl w:ilvl="0" w:tplc="F6D4EC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2C17"/>
    <w:multiLevelType w:val="hybridMultilevel"/>
    <w:tmpl w:val="B796959A"/>
    <w:lvl w:ilvl="0" w:tplc="0C542E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0BD5"/>
    <w:multiLevelType w:val="hybridMultilevel"/>
    <w:tmpl w:val="2A7EA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2FC5"/>
    <w:multiLevelType w:val="hybridMultilevel"/>
    <w:tmpl w:val="3874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3252"/>
    <w:multiLevelType w:val="hybridMultilevel"/>
    <w:tmpl w:val="2B20E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18C"/>
    <w:multiLevelType w:val="hybridMultilevel"/>
    <w:tmpl w:val="337EE15E"/>
    <w:lvl w:ilvl="0" w:tplc="3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5964"/>
    <w:multiLevelType w:val="hybridMultilevel"/>
    <w:tmpl w:val="7C80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650F"/>
    <w:multiLevelType w:val="hybridMultilevel"/>
    <w:tmpl w:val="FF6E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14E"/>
    <w:multiLevelType w:val="hybridMultilevel"/>
    <w:tmpl w:val="286292C6"/>
    <w:lvl w:ilvl="0" w:tplc="4384A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72C56"/>
    <w:multiLevelType w:val="hybridMultilevel"/>
    <w:tmpl w:val="EFF4E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91B00"/>
    <w:multiLevelType w:val="hybridMultilevel"/>
    <w:tmpl w:val="505AFBA4"/>
    <w:lvl w:ilvl="0" w:tplc="2CF40F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BA6836"/>
    <w:multiLevelType w:val="hybridMultilevel"/>
    <w:tmpl w:val="8C6A5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7E7D"/>
    <w:multiLevelType w:val="hybridMultilevel"/>
    <w:tmpl w:val="5C94F6B2"/>
    <w:lvl w:ilvl="0" w:tplc="04E0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F5F79"/>
    <w:multiLevelType w:val="hybridMultilevel"/>
    <w:tmpl w:val="92AE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62BAC"/>
    <w:multiLevelType w:val="hybridMultilevel"/>
    <w:tmpl w:val="FDC4D95C"/>
    <w:lvl w:ilvl="0" w:tplc="708E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E5992"/>
    <w:multiLevelType w:val="hybridMultilevel"/>
    <w:tmpl w:val="E6F6FD7C"/>
    <w:lvl w:ilvl="0" w:tplc="03D44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C1A76"/>
    <w:multiLevelType w:val="hybridMultilevel"/>
    <w:tmpl w:val="EBA80F1E"/>
    <w:lvl w:ilvl="0" w:tplc="7EB678F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EB80FA3"/>
    <w:multiLevelType w:val="hybridMultilevel"/>
    <w:tmpl w:val="BE344B0C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15B34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5ADF"/>
    <w:multiLevelType w:val="hybridMultilevel"/>
    <w:tmpl w:val="BB10FB3E"/>
    <w:lvl w:ilvl="0" w:tplc="7B5E44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E7E31"/>
    <w:multiLevelType w:val="hybridMultilevel"/>
    <w:tmpl w:val="084E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62FE"/>
    <w:multiLevelType w:val="hybridMultilevel"/>
    <w:tmpl w:val="69FA0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05F2A"/>
    <w:multiLevelType w:val="multilevel"/>
    <w:tmpl w:val="0C94F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27"/>
  </w:num>
  <w:num w:numId="8">
    <w:abstractNumId w:val="12"/>
  </w:num>
  <w:num w:numId="9">
    <w:abstractNumId w:val="9"/>
  </w:num>
  <w:num w:numId="10">
    <w:abstractNumId w:val="21"/>
  </w:num>
  <w:num w:numId="11">
    <w:abstractNumId w:val="4"/>
  </w:num>
  <w:num w:numId="12">
    <w:abstractNumId w:val="0"/>
  </w:num>
  <w:num w:numId="13">
    <w:abstractNumId w:val="32"/>
  </w:num>
  <w:num w:numId="14">
    <w:abstractNumId w:val="5"/>
  </w:num>
  <w:num w:numId="15">
    <w:abstractNumId w:val="26"/>
  </w:num>
  <w:num w:numId="16">
    <w:abstractNumId w:val="24"/>
  </w:num>
  <w:num w:numId="17">
    <w:abstractNumId w:val="19"/>
  </w:num>
  <w:num w:numId="18">
    <w:abstractNumId w:val="14"/>
  </w:num>
  <w:num w:numId="19">
    <w:abstractNumId w:val="10"/>
  </w:num>
  <w:num w:numId="20">
    <w:abstractNumId w:val="33"/>
  </w:num>
  <w:num w:numId="21">
    <w:abstractNumId w:val="6"/>
  </w:num>
  <w:num w:numId="22">
    <w:abstractNumId w:val="23"/>
  </w:num>
  <w:num w:numId="23">
    <w:abstractNumId w:val="25"/>
  </w:num>
  <w:num w:numId="24">
    <w:abstractNumId w:val="18"/>
  </w:num>
  <w:num w:numId="25">
    <w:abstractNumId w:val="16"/>
  </w:num>
  <w:num w:numId="26">
    <w:abstractNumId w:val="34"/>
  </w:num>
  <w:num w:numId="27">
    <w:abstractNumId w:val="7"/>
  </w:num>
  <w:num w:numId="28">
    <w:abstractNumId w:val="30"/>
  </w:num>
  <w:num w:numId="29">
    <w:abstractNumId w:val="15"/>
  </w:num>
  <w:num w:numId="30">
    <w:abstractNumId w:val="1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0001F"/>
    <w:rsid w:val="00002059"/>
    <w:rsid w:val="00002384"/>
    <w:rsid w:val="0001170C"/>
    <w:rsid w:val="0001551F"/>
    <w:rsid w:val="00015E16"/>
    <w:rsid w:val="000209B7"/>
    <w:rsid w:val="000378C3"/>
    <w:rsid w:val="00045E0C"/>
    <w:rsid w:val="0004688F"/>
    <w:rsid w:val="0005157F"/>
    <w:rsid w:val="00054004"/>
    <w:rsid w:val="00054888"/>
    <w:rsid w:val="00054B5F"/>
    <w:rsid w:val="00057BBD"/>
    <w:rsid w:val="00061700"/>
    <w:rsid w:val="0006208E"/>
    <w:rsid w:val="00063009"/>
    <w:rsid w:val="000656E9"/>
    <w:rsid w:val="000660C8"/>
    <w:rsid w:val="00067550"/>
    <w:rsid w:val="000719E8"/>
    <w:rsid w:val="00073EA7"/>
    <w:rsid w:val="00081EE4"/>
    <w:rsid w:val="00096BEA"/>
    <w:rsid w:val="00097BE4"/>
    <w:rsid w:val="000A5493"/>
    <w:rsid w:val="000B2962"/>
    <w:rsid w:val="000B6FAE"/>
    <w:rsid w:val="000C463D"/>
    <w:rsid w:val="000C5BB9"/>
    <w:rsid w:val="000C6FC6"/>
    <w:rsid w:val="000C70AC"/>
    <w:rsid w:val="000E2996"/>
    <w:rsid w:val="000F36FC"/>
    <w:rsid w:val="00104AA0"/>
    <w:rsid w:val="00105F94"/>
    <w:rsid w:val="0011263A"/>
    <w:rsid w:val="001137FA"/>
    <w:rsid w:val="001166BE"/>
    <w:rsid w:val="0012388F"/>
    <w:rsid w:val="0012676A"/>
    <w:rsid w:val="001375A8"/>
    <w:rsid w:val="0014052A"/>
    <w:rsid w:val="001407BA"/>
    <w:rsid w:val="00151112"/>
    <w:rsid w:val="00163B7A"/>
    <w:rsid w:val="00163B97"/>
    <w:rsid w:val="00165431"/>
    <w:rsid w:val="00170CBA"/>
    <w:rsid w:val="00172A58"/>
    <w:rsid w:val="00174D36"/>
    <w:rsid w:val="00185E8B"/>
    <w:rsid w:val="0018608B"/>
    <w:rsid w:val="00191CDE"/>
    <w:rsid w:val="00197054"/>
    <w:rsid w:val="001A3B3C"/>
    <w:rsid w:val="001A4949"/>
    <w:rsid w:val="001B5144"/>
    <w:rsid w:val="001B5D59"/>
    <w:rsid w:val="001C409A"/>
    <w:rsid w:val="001D0C2D"/>
    <w:rsid w:val="001D0CC6"/>
    <w:rsid w:val="001D1302"/>
    <w:rsid w:val="001D40E0"/>
    <w:rsid w:val="001D5245"/>
    <w:rsid w:val="001D685B"/>
    <w:rsid w:val="001F112C"/>
    <w:rsid w:val="001F1717"/>
    <w:rsid w:val="002008B9"/>
    <w:rsid w:val="00201829"/>
    <w:rsid w:val="002102EB"/>
    <w:rsid w:val="00216062"/>
    <w:rsid w:val="00224B4B"/>
    <w:rsid w:val="00233D30"/>
    <w:rsid w:val="00233DF7"/>
    <w:rsid w:val="002340D6"/>
    <w:rsid w:val="002405C4"/>
    <w:rsid w:val="00243AFF"/>
    <w:rsid w:val="00251B90"/>
    <w:rsid w:val="002561B4"/>
    <w:rsid w:val="00282AE2"/>
    <w:rsid w:val="002832A8"/>
    <w:rsid w:val="0029525D"/>
    <w:rsid w:val="002A1AF6"/>
    <w:rsid w:val="002A336E"/>
    <w:rsid w:val="002A5BD5"/>
    <w:rsid w:val="002B355F"/>
    <w:rsid w:val="002C1306"/>
    <w:rsid w:val="002C4A6D"/>
    <w:rsid w:val="002C5FBE"/>
    <w:rsid w:val="002C6F74"/>
    <w:rsid w:val="002D2D29"/>
    <w:rsid w:val="002D430F"/>
    <w:rsid w:val="002D49D6"/>
    <w:rsid w:val="002D517D"/>
    <w:rsid w:val="002E1AE5"/>
    <w:rsid w:val="002E2661"/>
    <w:rsid w:val="002E3DE1"/>
    <w:rsid w:val="002E5C98"/>
    <w:rsid w:val="002F01CF"/>
    <w:rsid w:val="00305E2A"/>
    <w:rsid w:val="00307E3A"/>
    <w:rsid w:val="0031354C"/>
    <w:rsid w:val="003154D0"/>
    <w:rsid w:val="0032532C"/>
    <w:rsid w:val="003344B7"/>
    <w:rsid w:val="00334B43"/>
    <w:rsid w:val="00335A14"/>
    <w:rsid w:val="0034010F"/>
    <w:rsid w:val="0034247D"/>
    <w:rsid w:val="00343E8B"/>
    <w:rsid w:val="00371A92"/>
    <w:rsid w:val="003736B9"/>
    <w:rsid w:val="0037654C"/>
    <w:rsid w:val="00384E45"/>
    <w:rsid w:val="0038547C"/>
    <w:rsid w:val="00385800"/>
    <w:rsid w:val="0038633A"/>
    <w:rsid w:val="003908E9"/>
    <w:rsid w:val="00391E73"/>
    <w:rsid w:val="00394CA1"/>
    <w:rsid w:val="00396B6B"/>
    <w:rsid w:val="0039703A"/>
    <w:rsid w:val="003C6F7B"/>
    <w:rsid w:val="003D291C"/>
    <w:rsid w:val="003D481C"/>
    <w:rsid w:val="003E0264"/>
    <w:rsid w:val="003E45C5"/>
    <w:rsid w:val="003E5507"/>
    <w:rsid w:val="003E76DE"/>
    <w:rsid w:val="003F376C"/>
    <w:rsid w:val="00410A48"/>
    <w:rsid w:val="00416AF1"/>
    <w:rsid w:val="0043167E"/>
    <w:rsid w:val="004451F0"/>
    <w:rsid w:val="004543F9"/>
    <w:rsid w:val="004605D4"/>
    <w:rsid w:val="00467ECD"/>
    <w:rsid w:val="00476B50"/>
    <w:rsid w:val="00476CB8"/>
    <w:rsid w:val="004800B8"/>
    <w:rsid w:val="00487C36"/>
    <w:rsid w:val="004A74EF"/>
    <w:rsid w:val="004B3214"/>
    <w:rsid w:val="004C77BC"/>
    <w:rsid w:val="004D1512"/>
    <w:rsid w:val="004D243C"/>
    <w:rsid w:val="004D5143"/>
    <w:rsid w:val="004E1A10"/>
    <w:rsid w:val="0050132B"/>
    <w:rsid w:val="005026E5"/>
    <w:rsid w:val="005101B4"/>
    <w:rsid w:val="00512E6D"/>
    <w:rsid w:val="00515099"/>
    <w:rsid w:val="00515F2E"/>
    <w:rsid w:val="00516A7E"/>
    <w:rsid w:val="0052569F"/>
    <w:rsid w:val="005410B6"/>
    <w:rsid w:val="00542C29"/>
    <w:rsid w:val="00546368"/>
    <w:rsid w:val="005679BB"/>
    <w:rsid w:val="00576089"/>
    <w:rsid w:val="00576BC2"/>
    <w:rsid w:val="00597244"/>
    <w:rsid w:val="00597FA3"/>
    <w:rsid w:val="005A1A0F"/>
    <w:rsid w:val="005B0303"/>
    <w:rsid w:val="005B151A"/>
    <w:rsid w:val="005B5CD1"/>
    <w:rsid w:val="005B69D8"/>
    <w:rsid w:val="005C0394"/>
    <w:rsid w:val="005C1268"/>
    <w:rsid w:val="005C3B67"/>
    <w:rsid w:val="005C4539"/>
    <w:rsid w:val="005C459B"/>
    <w:rsid w:val="005C4D24"/>
    <w:rsid w:val="005C6CCF"/>
    <w:rsid w:val="005D09FD"/>
    <w:rsid w:val="005D7247"/>
    <w:rsid w:val="0060056B"/>
    <w:rsid w:val="00610651"/>
    <w:rsid w:val="00610BFD"/>
    <w:rsid w:val="00612A36"/>
    <w:rsid w:val="00621EC2"/>
    <w:rsid w:val="006234B3"/>
    <w:rsid w:val="00626E1A"/>
    <w:rsid w:val="0063195A"/>
    <w:rsid w:val="0063463D"/>
    <w:rsid w:val="006351C2"/>
    <w:rsid w:val="00641F40"/>
    <w:rsid w:val="00651C26"/>
    <w:rsid w:val="00653B79"/>
    <w:rsid w:val="006668B9"/>
    <w:rsid w:val="00671007"/>
    <w:rsid w:val="006717C3"/>
    <w:rsid w:val="00671BBB"/>
    <w:rsid w:val="0068258A"/>
    <w:rsid w:val="006835B7"/>
    <w:rsid w:val="00684D57"/>
    <w:rsid w:val="006855AA"/>
    <w:rsid w:val="00694ACC"/>
    <w:rsid w:val="006A23B8"/>
    <w:rsid w:val="006B02F6"/>
    <w:rsid w:val="006B47F7"/>
    <w:rsid w:val="006B4843"/>
    <w:rsid w:val="006B661B"/>
    <w:rsid w:val="006C009B"/>
    <w:rsid w:val="006C2C56"/>
    <w:rsid w:val="006C3290"/>
    <w:rsid w:val="006D296A"/>
    <w:rsid w:val="006F49E1"/>
    <w:rsid w:val="006F576B"/>
    <w:rsid w:val="006F77AE"/>
    <w:rsid w:val="00706761"/>
    <w:rsid w:val="00711550"/>
    <w:rsid w:val="00714B55"/>
    <w:rsid w:val="00716D1E"/>
    <w:rsid w:val="007216E1"/>
    <w:rsid w:val="007245CE"/>
    <w:rsid w:val="00726DF0"/>
    <w:rsid w:val="00732D86"/>
    <w:rsid w:val="0073654C"/>
    <w:rsid w:val="0073735C"/>
    <w:rsid w:val="0074227A"/>
    <w:rsid w:val="0075149D"/>
    <w:rsid w:val="007519E8"/>
    <w:rsid w:val="0075380C"/>
    <w:rsid w:val="0076650D"/>
    <w:rsid w:val="00780B8D"/>
    <w:rsid w:val="007870BC"/>
    <w:rsid w:val="00797E83"/>
    <w:rsid w:val="007A302E"/>
    <w:rsid w:val="007B5A8E"/>
    <w:rsid w:val="007B7DE9"/>
    <w:rsid w:val="007C7AA9"/>
    <w:rsid w:val="007D292C"/>
    <w:rsid w:val="007E2911"/>
    <w:rsid w:val="007F33F6"/>
    <w:rsid w:val="007F3C8B"/>
    <w:rsid w:val="00805D69"/>
    <w:rsid w:val="00807840"/>
    <w:rsid w:val="00813B6F"/>
    <w:rsid w:val="00817224"/>
    <w:rsid w:val="00820EB2"/>
    <w:rsid w:val="00840917"/>
    <w:rsid w:val="008409D8"/>
    <w:rsid w:val="00842F90"/>
    <w:rsid w:val="0084347A"/>
    <w:rsid w:val="008442CE"/>
    <w:rsid w:val="008443F5"/>
    <w:rsid w:val="00844D0A"/>
    <w:rsid w:val="00845B28"/>
    <w:rsid w:val="0085218D"/>
    <w:rsid w:val="00863CD8"/>
    <w:rsid w:val="00871678"/>
    <w:rsid w:val="00871EB2"/>
    <w:rsid w:val="008807A7"/>
    <w:rsid w:val="00882343"/>
    <w:rsid w:val="00884866"/>
    <w:rsid w:val="00890A6C"/>
    <w:rsid w:val="008931AC"/>
    <w:rsid w:val="0089426F"/>
    <w:rsid w:val="00896336"/>
    <w:rsid w:val="00896D22"/>
    <w:rsid w:val="0089768B"/>
    <w:rsid w:val="008A05ED"/>
    <w:rsid w:val="008B3230"/>
    <w:rsid w:val="008C352A"/>
    <w:rsid w:val="008C41BC"/>
    <w:rsid w:val="008D05D6"/>
    <w:rsid w:val="008D6C5E"/>
    <w:rsid w:val="008D7779"/>
    <w:rsid w:val="008D7C95"/>
    <w:rsid w:val="008E156E"/>
    <w:rsid w:val="008E2783"/>
    <w:rsid w:val="008E475C"/>
    <w:rsid w:val="008E5A60"/>
    <w:rsid w:val="008F02D7"/>
    <w:rsid w:val="008F1FB8"/>
    <w:rsid w:val="008F20AB"/>
    <w:rsid w:val="008F321C"/>
    <w:rsid w:val="008F3CE1"/>
    <w:rsid w:val="008F75A2"/>
    <w:rsid w:val="00901C78"/>
    <w:rsid w:val="00906C80"/>
    <w:rsid w:val="00910DBC"/>
    <w:rsid w:val="0091725A"/>
    <w:rsid w:val="0091739D"/>
    <w:rsid w:val="00941D54"/>
    <w:rsid w:val="0095188F"/>
    <w:rsid w:val="00953BDF"/>
    <w:rsid w:val="00954743"/>
    <w:rsid w:val="0096350E"/>
    <w:rsid w:val="00965E5D"/>
    <w:rsid w:val="009717F2"/>
    <w:rsid w:val="009747AD"/>
    <w:rsid w:val="00980EB7"/>
    <w:rsid w:val="009901EA"/>
    <w:rsid w:val="009907F7"/>
    <w:rsid w:val="00991C0E"/>
    <w:rsid w:val="009958F8"/>
    <w:rsid w:val="009A54F3"/>
    <w:rsid w:val="009B093B"/>
    <w:rsid w:val="009B3062"/>
    <w:rsid w:val="009C2B87"/>
    <w:rsid w:val="009C5EEE"/>
    <w:rsid w:val="009C72B8"/>
    <w:rsid w:val="009D0F86"/>
    <w:rsid w:val="009D22BC"/>
    <w:rsid w:val="009E039E"/>
    <w:rsid w:val="009E37B9"/>
    <w:rsid w:val="009F63B9"/>
    <w:rsid w:val="00A22C26"/>
    <w:rsid w:val="00A25F2C"/>
    <w:rsid w:val="00A33890"/>
    <w:rsid w:val="00A347A8"/>
    <w:rsid w:val="00A360F0"/>
    <w:rsid w:val="00A423B6"/>
    <w:rsid w:val="00A4524D"/>
    <w:rsid w:val="00A4785E"/>
    <w:rsid w:val="00A51504"/>
    <w:rsid w:val="00A545F0"/>
    <w:rsid w:val="00A61FD7"/>
    <w:rsid w:val="00A634B1"/>
    <w:rsid w:val="00A668BB"/>
    <w:rsid w:val="00A73CB4"/>
    <w:rsid w:val="00A779E3"/>
    <w:rsid w:val="00A820EF"/>
    <w:rsid w:val="00A838E0"/>
    <w:rsid w:val="00A84603"/>
    <w:rsid w:val="00A86E20"/>
    <w:rsid w:val="00A874B9"/>
    <w:rsid w:val="00A94B9B"/>
    <w:rsid w:val="00AB70A6"/>
    <w:rsid w:val="00AC0E51"/>
    <w:rsid w:val="00AC113B"/>
    <w:rsid w:val="00AC312B"/>
    <w:rsid w:val="00AC50FB"/>
    <w:rsid w:val="00AD1892"/>
    <w:rsid w:val="00AE0644"/>
    <w:rsid w:val="00AE0757"/>
    <w:rsid w:val="00B11636"/>
    <w:rsid w:val="00B13530"/>
    <w:rsid w:val="00B1761C"/>
    <w:rsid w:val="00B34FF0"/>
    <w:rsid w:val="00B43661"/>
    <w:rsid w:val="00B46F26"/>
    <w:rsid w:val="00B51D68"/>
    <w:rsid w:val="00B529BC"/>
    <w:rsid w:val="00B52D5D"/>
    <w:rsid w:val="00B6717A"/>
    <w:rsid w:val="00B74C1B"/>
    <w:rsid w:val="00B96D9D"/>
    <w:rsid w:val="00BA38BF"/>
    <w:rsid w:val="00BA6706"/>
    <w:rsid w:val="00BB1C23"/>
    <w:rsid w:val="00BB1C38"/>
    <w:rsid w:val="00BB7745"/>
    <w:rsid w:val="00BC7DAF"/>
    <w:rsid w:val="00BD2ADD"/>
    <w:rsid w:val="00BD7EE1"/>
    <w:rsid w:val="00BE2ADA"/>
    <w:rsid w:val="00BE47A0"/>
    <w:rsid w:val="00BE6A1E"/>
    <w:rsid w:val="00BE70D2"/>
    <w:rsid w:val="00C05B10"/>
    <w:rsid w:val="00C14C61"/>
    <w:rsid w:val="00C1569E"/>
    <w:rsid w:val="00C33D2B"/>
    <w:rsid w:val="00C54C5D"/>
    <w:rsid w:val="00C5680B"/>
    <w:rsid w:val="00C800F8"/>
    <w:rsid w:val="00C82B7E"/>
    <w:rsid w:val="00C837C3"/>
    <w:rsid w:val="00CA30F8"/>
    <w:rsid w:val="00CA75B2"/>
    <w:rsid w:val="00CB6675"/>
    <w:rsid w:val="00CB765D"/>
    <w:rsid w:val="00CC4D4C"/>
    <w:rsid w:val="00CD23C1"/>
    <w:rsid w:val="00CD6A36"/>
    <w:rsid w:val="00CD7F92"/>
    <w:rsid w:val="00CF295D"/>
    <w:rsid w:val="00CF7351"/>
    <w:rsid w:val="00D0687B"/>
    <w:rsid w:val="00D171A3"/>
    <w:rsid w:val="00D260F8"/>
    <w:rsid w:val="00D2685E"/>
    <w:rsid w:val="00D30C56"/>
    <w:rsid w:val="00D47A7F"/>
    <w:rsid w:val="00D55AE8"/>
    <w:rsid w:val="00D569E8"/>
    <w:rsid w:val="00D67F50"/>
    <w:rsid w:val="00D816FC"/>
    <w:rsid w:val="00D942E8"/>
    <w:rsid w:val="00D95F00"/>
    <w:rsid w:val="00DA499B"/>
    <w:rsid w:val="00DA5999"/>
    <w:rsid w:val="00DB4253"/>
    <w:rsid w:val="00DC234D"/>
    <w:rsid w:val="00DC712B"/>
    <w:rsid w:val="00DD0E36"/>
    <w:rsid w:val="00DD3A53"/>
    <w:rsid w:val="00DD47C2"/>
    <w:rsid w:val="00DD59A7"/>
    <w:rsid w:val="00DE1D53"/>
    <w:rsid w:val="00DE4EB5"/>
    <w:rsid w:val="00DE7957"/>
    <w:rsid w:val="00DF1069"/>
    <w:rsid w:val="00E157E9"/>
    <w:rsid w:val="00E167AD"/>
    <w:rsid w:val="00E218A3"/>
    <w:rsid w:val="00E25B79"/>
    <w:rsid w:val="00E34418"/>
    <w:rsid w:val="00E35207"/>
    <w:rsid w:val="00E363C6"/>
    <w:rsid w:val="00E36AF9"/>
    <w:rsid w:val="00E41612"/>
    <w:rsid w:val="00E424F7"/>
    <w:rsid w:val="00E42FE2"/>
    <w:rsid w:val="00E443C8"/>
    <w:rsid w:val="00E46C57"/>
    <w:rsid w:val="00E62C2E"/>
    <w:rsid w:val="00E646E5"/>
    <w:rsid w:val="00E65D4D"/>
    <w:rsid w:val="00E70571"/>
    <w:rsid w:val="00E7259E"/>
    <w:rsid w:val="00E74EF6"/>
    <w:rsid w:val="00E77DF9"/>
    <w:rsid w:val="00E82972"/>
    <w:rsid w:val="00E836AB"/>
    <w:rsid w:val="00E85C9B"/>
    <w:rsid w:val="00E94888"/>
    <w:rsid w:val="00E94A63"/>
    <w:rsid w:val="00E9579B"/>
    <w:rsid w:val="00EA6D73"/>
    <w:rsid w:val="00EB6C8E"/>
    <w:rsid w:val="00EC4B37"/>
    <w:rsid w:val="00EC76BC"/>
    <w:rsid w:val="00ED481C"/>
    <w:rsid w:val="00EE149E"/>
    <w:rsid w:val="00EE63DE"/>
    <w:rsid w:val="00EE747B"/>
    <w:rsid w:val="00EF43C9"/>
    <w:rsid w:val="00EF5C9D"/>
    <w:rsid w:val="00EF7110"/>
    <w:rsid w:val="00EF7783"/>
    <w:rsid w:val="00F00974"/>
    <w:rsid w:val="00F00F6B"/>
    <w:rsid w:val="00F05698"/>
    <w:rsid w:val="00F05CBF"/>
    <w:rsid w:val="00F13C73"/>
    <w:rsid w:val="00F14440"/>
    <w:rsid w:val="00F15D7F"/>
    <w:rsid w:val="00F2377B"/>
    <w:rsid w:val="00F42BB7"/>
    <w:rsid w:val="00F447B8"/>
    <w:rsid w:val="00F5115B"/>
    <w:rsid w:val="00F571CF"/>
    <w:rsid w:val="00F67846"/>
    <w:rsid w:val="00F816BE"/>
    <w:rsid w:val="00F82663"/>
    <w:rsid w:val="00F91494"/>
    <w:rsid w:val="00FA0187"/>
    <w:rsid w:val="00FA193E"/>
    <w:rsid w:val="00FA2EC6"/>
    <w:rsid w:val="00FA7A58"/>
    <w:rsid w:val="00FB0A58"/>
    <w:rsid w:val="00FB1334"/>
    <w:rsid w:val="00FB13FC"/>
    <w:rsid w:val="00FB2911"/>
    <w:rsid w:val="00FB4562"/>
    <w:rsid w:val="00FC201C"/>
    <w:rsid w:val="00FC21E3"/>
    <w:rsid w:val="00FC2932"/>
    <w:rsid w:val="00FC54D6"/>
    <w:rsid w:val="00FC631E"/>
    <w:rsid w:val="00FC7CD8"/>
    <w:rsid w:val="00FD039C"/>
    <w:rsid w:val="00FD56D2"/>
    <w:rsid w:val="00FD70C0"/>
    <w:rsid w:val="00FE4EC8"/>
    <w:rsid w:val="00FE5D28"/>
    <w:rsid w:val="00FF08C7"/>
    <w:rsid w:val="00FF1F85"/>
    <w:rsid w:val="00FF7462"/>
    <w:rsid w:val="00FF769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0D37"/>
  <w15:chartTrackingRefBased/>
  <w15:docId w15:val="{7BAF100A-D751-42BB-AD71-C2DCF67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C8B"/>
  </w:style>
  <w:style w:type="paragraph" w:styleId="Podnoje">
    <w:name w:val="footer"/>
    <w:basedOn w:val="Normal"/>
    <w:link w:val="Podno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C8B"/>
  </w:style>
  <w:style w:type="paragraph" w:styleId="Tekstbalonia">
    <w:name w:val="Balloon Text"/>
    <w:basedOn w:val="Normal"/>
    <w:link w:val="TekstbaloniaChar"/>
    <w:uiPriority w:val="99"/>
    <w:semiHidden/>
    <w:unhideWhenUsed/>
    <w:rsid w:val="008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282A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41F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C4A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9C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5D9A-9D4A-4E93-9DE0-1BC12718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43</cp:revision>
  <cp:lastPrinted>2022-02-02T11:47:00Z</cp:lastPrinted>
  <dcterms:created xsi:type="dcterms:W3CDTF">2022-06-14T11:30:00Z</dcterms:created>
  <dcterms:modified xsi:type="dcterms:W3CDTF">2022-07-26T07:35:00Z</dcterms:modified>
</cp:coreProperties>
</file>